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rPr>
        <w:t>部门整体支出绩效自评报告</w:t>
      </w:r>
    </w:p>
    <w:p>
      <w:pPr>
        <w:ind w:firstLine="420" w:firstLineChars="200"/>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一、部门</w:t>
      </w:r>
      <w:r>
        <w:rPr>
          <w:rFonts w:hint="eastAsia" w:ascii="黑体" w:hAnsi="黑体" w:eastAsia="黑体" w:cs="黑体"/>
          <w:b w:val="0"/>
          <w:bCs w:val="0"/>
          <w:sz w:val="32"/>
          <w:szCs w:val="32"/>
          <w:lang w:eastAsia="zh-CN"/>
        </w:rPr>
        <w:t>、单位基本情况</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（一）部门概况。机构设置情况、人员编制情况、主要职能职责、202</w:t>
      </w:r>
      <w:r>
        <w:rPr>
          <w:rFonts w:hint="eastAsia" w:ascii="仿宋" w:hAnsi="仿宋" w:eastAsia="仿宋" w:cs="仿宋"/>
          <w:sz w:val="32"/>
          <w:szCs w:val="32"/>
          <w:lang w:val="en-US" w:eastAsia="zh-CN"/>
        </w:rPr>
        <w:t>4</w:t>
      </w:r>
      <w:r>
        <w:rPr>
          <w:rFonts w:hint="eastAsia" w:ascii="仿宋" w:hAnsi="仿宋" w:eastAsia="仿宋" w:cs="仿宋"/>
          <w:sz w:val="32"/>
          <w:szCs w:val="32"/>
        </w:rPr>
        <w:t>年的重点工作</w:t>
      </w:r>
      <w:r>
        <w:rPr>
          <w:rFonts w:hint="eastAsia" w:ascii="仿宋" w:hAnsi="仿宋" w:eastAsia="仿宋" w:cs="仿宋"/>
          <w:sz w:val="32"/>
          <w:szCs w:val="32"/>
          <w:lang w:eastAsia="zh-CN"/>
        </w:rPr>
        <w:t>、</w:t>
      </w:r>
      <w:bookmarkStart w:id="0" w:name="OLE_LINK1"/>
      <w:r>
        <w:rPr>
          <w:rFonts w:hint="eastAsia" w:ascii="仿宋" w:hAnsi="仿宋" w:eastAsia="仿宋" w:cs="仿宋"/>
          <w:sz w:val="32"/>
          <w:szCs w:val="32"/>
          <w:lang w:eastAsia="zh-CN"/>
        </w:rPr>
        <w:t>绩效目标设定情况</w:t>
      </w:r>
      <w:bookmarkEnd w:id="0"/>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ascii="方正仿宋_GBK" w:eastAsia="方正仿宋_GBK"/>
          <w:sz w:val="32"/>
          <w:szCs w:val="32"/>
        </w:rPr>
      </w:pPr>
      <w:r>
        <w:rPr>
          <w:rFonts w:hint="eastAsia" w:ascii="方正仿宋_GBK" w:eastAsia="方正仿宋_GBK"/>
          <w:sz w:val="32"/>
          <w:szCs w:val="32"/>
          <w:lang w:eastAsia="zh-CN"/>
        </w:rPr>
        <w:t>县委</w:t>
      </w:r>
      <w:r>
        <w:rPr>
          <w:rFonts w:hint="eastAsia" w:ascii="方正仿宋_GBK" w:eastAsia="方正仿宋_GBK"/>
          <w:sz w:val="32"/>
          <w:szCs w:val="32"/>
        </w:rPr>
        <w:t>宣传部编制人数为</w:t>
      </w:r>
      <w:r>
        <w:rPr>
          <w:rFonts w:ascii="方正仿宋_GBK" w:eastAsia="方正仿宋_GBK"/>
          <w:sz w:val="32"/>
          <w:szCs w:val="32"/>
        </w:rPr>
        <w:t>2</w:t>
      </w:r>
      <w:r>
        <w:rPr>
          <w:rFonts w:hint="eastAsia" w:ascii="方正仿宋_GBK" w:eastAsia="方正仿宋_GBK"/>
          <w:sz w:val="32"/>
          <w:szCs w:val="32"/>
          <w:lang w:val="en-US" w:eastAsia="zh-CN"/>
        </w:rPr>
        <w:t>8</w:t>
      </w:r>
      <w:r>
        <w:rPr>
          <w:rFonts w:hint="eastAsia" w:ascii="方正仿宋_GBK" w:eastAsia="方正仿宋_GBK"/>
          <w:sz w:val="32"/>
          <w:szCs w:val="32"/>
        </w:rPr>
        <w:t>人</w:t>
      </w:r>
      <w:r>
        <w:rPr>
          <w:rFonts w:ascii="方正仿宋_GBK" w:eastAsia="方正仿宋_GBK"/>
          <w:sz w:val="32"/>
          <w:szCs w:val="32"/>
        </w:rPr>
        <w:t>(</w:t>
      </w:r>
      <w:r>
        <w:rPr>
          <w:rFonts w:hint="eastAsia" w:ascii="方正仿宋_GBK" w:eastAsia="方正仿宋_GBK"/>
          <w:sz w:val="32"/>
          <w:szCs w:val="32"/>
        </w:rPr>
        <w:t>含文联</w:t>
      </w:r>
      <w:r>
        <w:rPr>
          <w:rFonts w:hint="eastAsia" w:ascii="方正仿宋_GBK" w:eastAsia="方正仿宋_GBK"/>
          <w:sz w:val="32"/>
          <w:szCs w:val="32"/>
          <w:lang w:val="en-US" w:eastAsia="zh-CN"/>
        </w:rPr>
        <w:t>3人</w:t>
      </w:r>
      <w:r>
        <w:rPr>
          <w:rFonts w:ascii="方正仿宋_GBK" w:eastAsia="方正仿宋_GBK"/>
          <w:sz w:val="32"/>
          <w:szCs w:val="32"/>
        </w:rPr>
        <w:t>、社科联</w:t>
      </w:r>
      <w:r>
        <w:rPr>
          <w:rFonts w:hint="eastAsia" w:ascii="方正仿宋_GBK" w:eastAsia="方正仿宋_GBK"/>
          <w:sz w:val="32"/>
          <w:szCs w:val="32"/>
          <w:lang w:val="en-US" w:eastAsia="zh-CN"/>
        </w:rPr>
        <w:t>3人</w:t>
      </w:r>
      <w:r>
        <w:rPr>
          <w:rFonts w:ascii="方正仿宋_GBK" w:eastAsia="方正仿宋_GBK"/>
          <w:sz w:val="32"/>
          <w:szCs w:val="32"/>
        </w:rPr>
        <w:t>、新时代文明实践指导服务中心</w:t>
      </w:r>
      <w:r>
        <w:rPr>
          <w:rFonts w:hint="eastAsia" w:ascii="方正仿宋_GBK" w:eastAsia="方正仿宋_GBK"/>
          <w:sz w:val="32"/>
          <w:szCs w:val="32"/>
          <w:lang w:val="en-US" w:eastAsia="zh-CN"/>
        </w:rPr>
        <w:t>8人</w:t>
      </w:r>
      <w:r>
        <w:rPr>
          <w:rFonts w:hint="eastAsia" w:ascii="方正仿宋_GBK" w:eastAsia="方正仿宋_GBK"/>
          <w:sz w:val="32"/>
          <w:szCs w:val="32"/>
        </w:rPr>
        <w:t>），实际人数</w:t>
      </w:r>
      <w:r>
        <w:rPr>
          <w:rFonts w:hint="eastAsia" w:ascii="方正仿宋_GBK" w:eastAsia="方正仿宋_GBK"/>
          <w:sz w:val="32"/>
          <w:szCs w:val="32"/>
          <w:lang w:val="en-US" w:eastAsia="zh-CN"/>
        </w:rPr>
        <w:t>24</w:t>
      </w:r>
      <w:r>
        <w:rPr>
          <w:rFonts w:hint="eastAsia" w:ascii="方正仿宋_GBK" w:eastAsia="方正仿宋_GBK"/>
          <w:sz w:val="32"/>
          <w:szCs w:val="32"/>
        </w:rPr>
        <w:t>人，离退休</w:t>
      </w:r>
      <w:r>
        <w:rPr>
          <w:rFonts w:ascii="方正仿宋_GBK" w:eastAsia="方正仿宋_GBK"/>
          <w:sz w:val="32"/>
          <w:szCs w:val="32"/>
        </w:rPr>
        <w:t>1</w:t>
      </w:r>
      <w:r>
        <w:rPr>
          <w:rFonts w:hint="eastAsia" w:ascii="方正仿宋_GBK" w:eastAsia="方正仿宋_GBK"/>
          <w:sz w:val="32"/>
          <w:szCs w:val="32"/>
          <w:lang w:val="en-US" w:eastAsia="zh-CN"/>
        </w:rPr>
        <w:t>5</w:t>
      </w:r>
      <w:r>
        <w:rPr>
          <w:rFonts w:hint="eastAsia" w:ascii="方正仿宋_GBK" w:eastAsia="方正仿宋_GBK"/>
          <w:sz w:val="32"/>
          <w:szCs w:val="32"/>
        </w:rPr>
        <w:t>人。小车编制数</w:t>
      </w:r>
      <w:r>
        <w:rPr>
          <w:rFonts w:ascii="方正仿宋_GBK" w:eastAsia="方正仿宋_GBK"/>
          <w:sz w:val="32"/>
          <w:szCs w:val="32"/>
        </w:rPr>
        <w:t xml:space="preserve"> 0</w:t>
      </w:r>
      <w:r>
        <w:rPr>
          <w:rFonts w:hint="eastAsia" w:ascii="方正仿宋_GBK" w:eastAsia="方正仿宋_GBK"/>
          <w:sz w:val="32"/>
          <w:szCs w:val="32"/>
        </w:rPr>
        <w:t>台（</w:t>
      </w:r>
      <w:r>
        <w:rPr>
          <w:rFonts w:ascii="方正仿宋_GBK" w:eastAsia="方正仿宋_GBK"/>
          <w:sz w:val="32"/>
          <w:szCs w:val="32"/>
        </w:rPr>
        <w:t>2017</w:t>
      </w:r>
      <w:r>
        <w:rPr>
          <w:rFonts w:hint="eastAsia" w:ascii="方正仿宋_GBK" w:eastAsia="方正仿宋_GBK"/>
          <w:sz w:val="32"/>
          <w:szCs w:val="32"/>
        </w:rPr>
        <w:t>年移交车改办一台，</w:t>
      </w:r>
      <w:r>
        <w:rPr>
          <w:rFonts w:ascii="方正仿宋_GBK" w:eastAsia="方正仿宋_GBK"/>
          <w:sz w:val="32"/>
          <w:szCs w:val="32"/>
        </w:rPr>
        <w:t>2018</w:t>
      </w:r>
      <w:r>
        <w:rPr>
          <w:rFonts w:hint="eastAsia" w:ascii="方正仿宋_GBK" w:eastAsia="方正仿宋_GBK"/>
          <w:sz w:val="32"/>
          <w:szCs w:val="32"/>
        </w:rPr>
        <w:t>年</w:t>
      </w:r>
      <w:r>
        <w:rPr>
          <w:rFonts w:ascii="方正仿宋_GBK" w:eastAsia="方正仿宋_GBK"/>
          <w:sz w:val="32"/>
          <w:szCs w:val="32"/>
        </w:rPr>
        <w:t>6</w:t>
      </w:r>
      <w:r>
        <w:rPr>
          <w:rFonts w:hint="eastAsia" w:ascii="方正仿宋_GBK" w:eastAsia="方正仿宋_GBK"/>
          <w:sz w:val="32"/>
          <w:szCs w:val="32"/>
        </w:rPr>
        <w:t>月移交一台），遗属补助人数</w:t>
      </w:r>
      <w:r>
        <w:rPr>
          <w:rFonts w:ascii="方正仿宋_GBK" w:eastAsia="方正仿宋_GBK"/>
          <w:sz w:val="32"/>
          <w:szCs w:val="32"/>
        </w:rPr>
        <w:t xml:space="preserve"> 0</w:t>
      </w:r>
      <w:r>
        <w:rPr>
          <w:rFonts w:hint="eastAsia" w:ascii="方正仿宋_GBK" w:eastAsia="方正仿宋_GBK"/>
          <w:sz w:val="32"/>
          <w:szCs w:val="32"/>
        </w:rPr>
        <w:t>人。</w:t>
      </w:r>
    </w:p>
    <w:p>
      <w:pPr>
        <w:pStyle w:val="2"/>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方正仿宋_GBK" w:eastAsia="方正仿宋_GBK"/>
          <w:sz w:val="32"/>
          <w:szCs w:val="32"/>
        </w:rPr>
      </w:pPr>
      <w:r>
        <w:rPr>
          <w:rFonts w:hint="eastAsia" w:ascii="方正仿宋_GBK" w:hAnsi="仿宋" w:eastAsia="方正仿宋_GBK" w:cs="仿宋"/>
          <w:sz w:val="32"/>
          <w:szCs w:val="32"/>
        </w:rPr>
        <w:t>单位内设办公室、理教组、意识形态组、新闻组、宣传组、新闻出版（版权）组、文明</w:t>
      </w:r>
      <w:r>
        <w:rPr>
          <w:rFonts w:hint="eastAsia" w:ascii="方正仿宋_GBK" w:hAnsi="宋体" w:eastAsia="方正仿宋_GBK" w:cs="宋体"/>
          <w:sz w:val="32"/>
          <w:szCs w:val="32"/>
        </w:rPr>
        <w:t>创建指导组</w:t>
      </w:r>
      <w:r>
        <w:rPr>
          <w:rFonts w:hint="eastAsia" w:ascii="方正仿宋_GBK" w:hAnsi="仿宋" w:eastAsia="方正仿宋_GBK" w:cs="仿宋"/>
          <w:sz w:val="32"/>
          <w:szCs w:val="32"/>
        </w:rPr>
        <w:t>、志愿服务管理组、政工组</w:t>
      </w:r>
      <w:r>
        <w:rPr>
          <w:rFonts w:hint="eastAsia" w:ascii="方正仿宋_GBK" w:hAnsi="仿宋" w:eastAsia="方正仿宋_GBK" w:cs="仿宋"/>
          <w:sz w:val="32"/>
          <w:szCs w:val="32"/>
          <w:lang w:val="en-US" w:eastAsia="zh-CN"/>
        </w:rPr>
        <w:t>9个组室，另根据县委安排代管县文联、县</w:t>
      </w:r>
      <w:r>
        <w:rPr>
          <w:rFonts w:hint="eastAsia" w:ascii="方正仿宋_GBK" w:hAnsi="仿宋" w:eastAsia="方正仿宋_GBK" w:cs="仿宋"/>
          <w:sz w:val="32"/>
          <w:szCs w:val="32"/>
        </w:rPr>
        <w:t>社科联</w:t>
      </w:r>
      <w:r>
        <w:rPr>
          <w:rFonts w:hint="eastAsia" w:ascii="方正仿宋_GBK" w:eastAsia="方正仿宋_GBK"/>
          <w:sz w:val="32"/>
          <w:szCs w:val="32"/>
        </w:rPr>
        <w:t>。主要职责是：</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拟订全县宣传思想文化工作政策和事业发展总体规划，统筹协调推进宣传思想文化领域法治建设，协调全县宣传文化系统各部门之间的工作。</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统筹协调全县党的意识形态工作。结合巡察工作开展专项检查。</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统筹指导全县理论学习、理论宣传、理论研究工作。</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组织开展和指导社会科学学术研究活动，促进常态交流，组织开展社会科学普及和咨询服务工作。负责哲学社会科学规划课题的评审和管理。</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统筹分析研判和引导社会舆论。</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负责全县新闻出版业的管理。</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负责指导、协调全县文化艺术特别是精神产品的生产。</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负责管理全县电影行政事务。</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9.</w:t>
      </w:r>
      <w:r>
        <w:rPr>
          <w:rFonts w:hint="eastAsia" w:ascii="仿宋" w:hAnsi="仿宋" w:eastAsia="仿宋" w:cs="仿宋"/>
          <w:sz w:val="32"/>
          <w:szCs w:val="32"/>
        </w:rPr>
        <w:t>负责全县对外、对港澳宣传工作的协调和管理；协调有关部门开展涉台问题的对外宣传；指导和协调全县对外文化交流工作。</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10.</w:t>
      </w:r>
      <w:r>
        <w:rPr>
          <w:rFonts w:hint="eastAsia" w:ascii="仿宋" w:hAnsi="仿宋" w:eastAsia="仿宋" w:cs="仿宋"/>
          <w:sz w:val="32"/>
          <w:szCs w:val="32"/>
        </w:rPr>
        <w:t>统筹指导协调文化体制改革和文化事业、文化产业及旅游业发展，协调指导国有文化资产监管工作。承担县文化体制改革发展领导小组办公室日常工作。</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11.</w:t>
      </w:r>
      <w:r>
        <w:rPr>
          <w:rFonts w:hint="eastAsia" w:ascii="仿宋" w:hAnsi="仿宋" w:eastAsia="仿宋" w:cs="仿宋"/>
          <w:sz w:val="32"/>
          <w:szCs w:val="32"/>
        </w:rPr>
        <w:t>负责制定全县群众性的精神文明建设活动规划，做好组织协调、督促落实工作，综合、协调、组织、指导全县开展群众性精神文明创建活动。</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仿宋" w:hAnsi="仿宋" w:eastAsia="仿宋" w:cs="仿宋"/>
          <w:sz w:val="32"/>
          <w:szCs w:val="32"/>
        </w:rPr>
      </w:pPr>
      <w:r>
        <w:rPr>
          <w:rFonts w:ascii="仿宋" w:hAnsi="仿宋" w:eastAsia="仿宋" w:cs="仿宋"/>
          <w:sz w:val="32"/>
          <w:szCs w:val="32"/>
        </w:rPr>
        <w:t>12.</w:t>
      </w:r>
      <w:r>
        <w:rPr>
          <w:rFonts w:hint="eastAsia" w:ascii="仿宋" w:hAnsi="仿宋" w:eastAsia="仿宋" w:cs="仿宋"/>
          <w:sz w:val="32"/>
          <w:szCs w:val="32"/>
        </w:rPr>
        <w:t>受县委委托，会同县委组织部管理新闻、文化、出版、文学艺术、社会科学和互联网信息等方面县直宣传文化系统单位的领导干部。对乡镇（街道）宣传委员的任免提出意见。负责有关重要宣传舆论阵地和重要岗位领导干部管理。负责组织开展全县宣传思想文化系统干部教育培训和人才工作。</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lang w:eastAsia="zh-CN"/>
        </w:rPr>
      </w:pPr>
      <w:bookmarkStart w:id="1" w:name="OLE_LINK2"/>
      <w:r>
        <w:rPr>
          <w:rFonts w:hint="eastAsia" w:ascii="仿宋" w:hAnsi="仿宋" w:eastAsia="仿宋" w:cs="仿宋"/>
          <w:sz w:val="32"/>
          <w:szCs w:val="32"/>
          <w:lang w:eastAsia="zh-CN"/>
        </w:rPr>
        <w:t>（二）</w:t>
      </w:r>
      <w:bookmarkEnd w:id="1"/>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年的重点工作</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ascii="方正仿宋_GBK" w:hAnsi="仿宋" w:eastAsia="方正仿宋_GBK" w:cs="仿宋"/>
          <w:b w:val="0"/>
          <w:bCs/>
          <w:color w:val="auto"/>
          <w:sz w:val="32"/>
          <w:szCs w:val="32"/>
          <w:lang w:eastAsia="zh-CN"/>
        </w:rPr>
      </w:pPr>
      <w:bookmarkStart w:id="2" w:name="OLE_LINK3"/>
      <w:r>
        <w:rPr>
          <w:rFonts w:ascii="方正仿宋_GBK" w:hAnsi="仿宋" w:eastAsia="方正仿宋_GBK" w:cs="仿宋"/>
          <w:b w:val="0"/>
          <w:bCs/>
          <w:color w:val="auto"/>
          <w:sz w:val="32"/>
          <w:szCs w:val="32"/>
          <w:lang w:eastAsia="zh-CN"/>
        </w:rPr>
        <w:t>1.</w:t>
      </w:r>
      <w:bookmarkEnd w:id="2"/>
      <w:r>
        <w:rPr>
          <w:rFonts w:ascii="方正仿宋_GBK" w:hAnsi="仿宋" w:eastAsia="方正仿宋_GBK" w:cs="仿宋"/>
          <w:b w:val="0"/>
          <w:bCs/>
          <w:color w:val="auto"/>
          <w:sz w:val="32"/>
          <w:szCs w:val="32"/>
          <w:lang w:eastAsia="zh-CN"/>
        </w:rPr>
        <w:t>聚焦首要任务，坚持不懈用习近平新时代中国特色社会主义思想的凝心铸魂。</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ascii="方正仿宋_GBK" w:hAnsi="仿宋" w:eastAsia="方正仿宋_GBK" w:cs="仿宋"/>
          <w:b w:val="0"/>
          <w:bCs/>
          <w:color w:val="auto"/>
          <w:sz w:val="32"/>
          <w:szCs w:val="32"/>
          <w:lang w:eastAsia="zh-CN"/>
        </w:rPr>
      </w:pPr>
      <w:r>
        <w:rPr>
          <w:rFonts w:ascii="方正仿宋_GBK" w:hAnsi="仿宋" w:eastAsia="方正仿宋_GBK" w:cs="仿宋"/>
          <w:b w:val="0"/>
          <w:bCs/>
          <w:color w:val="auto"/>
          <w:sz w:val="32"/>
          <w:szCs w:val="32"/>
          <w:lang w:eastAsia="zh-CN"/>
        </w:rPr>
        <w:t>2.聚焦主责主线，持续推进党的</w:t>
      </w:r>
      <w:r>
        <w:rPr>
          <w:rFonts w:hint="eastAsia" w:ascii="方正仿宋_GBK" w:hAnsi="仿宋" w:eastAsia="方正仿宋_GBK" w:cs="仿宋"/>
          <w:b w:val="0"/>
          <w:bCs/>
          <w:color w:val="auto"/>
          <w:sz w:val="32"/>
          <w:szCs w:val="32"/>
          <w:lang w:eastAsia="zh-CN"/>
        </w:rPr>
        <w:t>二十届三中全会</w:t>
      </w:r>
      <w:r>
        <w:rPr>
          <w:rFonts w:ascii="方正仿宋_GBK" w:hAnsi="仿宋" w:eastAsia="方正仿宋_GBK" w:cs="仿宋"/>
          <w:b w:val="0"/>
          <w:bCs/>
          <w:color w:val="auto"/>
          <w:sz w:val="32"/>
          <w:szCs w:val="32"/>
          <w:lang w:eastAsia="zh-CN"/>
        </w:rPr>
        <w:t>精神走深走实。</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ascii="方正仿宋_GBK" w:hAnsi="仿宋" w:eastAsia="方正仿宋_GBK" w:cs="仿宋"/>
          <w:b w:val="0"/>
          <w:bCs/>
          <w:color w:val="auto"/>
          <w:sz w:val="32"/>
          <w:szCs w:val="32"/>
          <w:lang w:eastAsia="zh-CN"/>
        </w:rPr>
      </w:pPr>
      <w:r>
        <w:rPr>
          <w:rFonts w:ascii="方正仿宋_GBK" w:hAnsi="仿宋" w:eastAsia="方正仿宋_GBK" w:cs="仿宋"/>
          <w:b w:val="0"/>
          <w:bCs/>
          <w:color w:val="auto"/>
          <w:sz w:val="32"/>
          <w:szCs w:val="32"/>
          <w:lang w:eastAsia="zh-CN"/>
        </w:rPr>
        <w:t>3.聚焦服务大局，不断巩固壮大奋进新时代的主流舆论。</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ascii="方正仿宋_GBK" w:hAnsi="仿宋" w:eastAsia="方正仿宋_GBK" w:cs="仿宋"/>
          <w:b w:val="0"/>
          <w:bCs/>
          <w:color w:val="auto"/>
          <w:sz w:val="32"/>
          <w:szCs w:val="32"/>
          <w:lang w:eastAsia="zh-CN"/>
        </w:rPr>
      </w:pPr>
      <w:r>
        <w:rPr>
          <w:rFonts w:ascii="方正仿宋_GBK" w:hAnsi="仿宋" w:eastAsia="方正仿宋_GBK" w:cs="仿宋"/>
          <w:b w:val="0"/>
          <w:bCs/>
          <w:color w:val="auto"/>
          <w:sz w:val="32"/>
          <w:szCs w:val="32"/>
          <w:lang w:eastAsia="zh-CN"/>
        </w:rPr>
        <w:t>4.聚焦价值引领，着力提升社会主义精神文明建设水平。</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ascii="方正仿宋_GBK" w:hAnsi="仿宋" w:eastAsia="方正仿宋_GBK" w:cs="仿宋"/>
          <w:b w:val="0"/>
          <w:bCs/>
          <w:color w:val="auto"/>
          <w:sz w:val="32"/>
          <w:szCs w:val="32"/>
          <w:lang w:eastAsia="zh-CN"/>
        </w:rPr>
      </w:pPr>
      <w:r>
        <w:rPr>
          <w:rFonts w:ascii="方正仿宋_GBK" w:hAnsi="仿宋" w:eastAsia="方正仿宋_GBK" w:cs="仿宋"/>
          <w:b w:val="0"/>
          <w:bCs/>
          <w:color w:val="auto"/>
          <w:sz w:val="32"/>
          <w:szCs w:val="32"/>
          <w:lang w:eastAsia="zh-CN"/>
        </w:rPr>
        <w:t>5.聚焦为民惠民，推动文化事业和文化产业高质量发展。</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方正仿宋_GBK" w:hAnsi="仿宋" w:eastAsia="方正仿宋_GBK" w:cs="仿宋"/>
          <w:b w:val="0"/>
          <w:bCs/>
          <w:color w:val="auto"/>
          <w:sz w:val="32"/>
          <w:szCs w:val="32"/>
        </w:rPr>
      </w:pPr>
      <w:r>
        <w:rPr>
          <w:rFonts w:ascii="方正仿宋_GBK" w:hAnsi="仿宋" w:eastAsia="方正仿宋_GBK" w:cs="仿宋"/>
          <w:b w:val="0"/>
          <w:bCs/>
          <w:color w:val="auto"/>
          <w:sz w:val="32"/>
          <w:szCs w:val="32"/>
          <w:lang w:eastAsia="zh-CN"/>
        </w:rPr>
        <w:t>6.聚焦安全底线，全面落实意识形态工作责任制。</w:t>
      </w:r>
    </w:p>
    <w:p>
      <w:pPr>
        <w:pStyle w:val="2"/>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lang w:eastAsia="zh-CN"/>
        </w:rPr>
      </w:pPr>
      <w:r>
        <w:rPr>
          <w:rFonts w:hint="eastAsia" w:ascii="仿宋" w:hAnsi="仿宋" w:eastAsia="仿宋" w:cs="仿宋"/>
          <w:sz w:val="32"/>
          <w:szCs w:val="32"/>
          <w:lang w:eastAsia="zh-CN"/>
        </w:rPr>
        <w:t>（三）绩效目标设定情况</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方正仿宋_GBK" w:hAnsi="仿宋" w:eastAsia="方正仿宋_GBK" w:cs="仿宋"/>
          <w:b w:val="0"/>
          <w:bCs/>
          <w:color w:val="auto"/>
          <w:sz w:val="32"/>
          <w:szCs w:val="32"/>
          <w:lang w:eastAsia="zh-CN"/>
        </w:rPr>
      </w:pPr>
      <w:r>
        <w:rPr>
          <w:rFonts w:ascii="方正仿宋_GBK" w:hAnsi="仿宋" w:eastAsia="方正仿宋_GBK" w:cs="仿宋"/>
          <w:b w:val="0"/>
          <w:bCs/>
          <w:color w:val="auto"/>
          <w:sz w:val="32"/>
          <w:szCs w:val="32"/>
          <w:lang w:eastAsia="zh-CN"/>
        </w:rPr>
        <w:t>1.</w:t>
      </w:r>
      <w:r>
        <w:rPr>
          <w:rFonts w:hint="eastAsia" w:ascii="方正仿宋_GBK" w:hAnsi="仿宋" w:eastAsia="方正仿宋_GBK" w:cs="仿宋"/>
          <w:b w:val="0"/>
          <w:bCs/>
          <w:color w:val="auto"/>
          <w:sz w:val="32"/>
          <w:szCs w:val="32"/>
          <w:lang w:eastAsia="zh-CN"/>
        </w:rPr>
        <w:t>开展理论教育。学习宣传贯彻党的二十大精神、二十届二中、二十届三中全会精神和习近平新时代中国特色社会主义思想，指导全县党委（党组）理论中心组学习。</w:t>
      </w:r>
    </w:p>
    <w:p>
      <w:pPr>
        <w:pStyle w:val="2"/>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方正仿宋_GBK" w:hAnsi="仿宋" w:eastAsia="方正仿宋_GBK" w:cs="仿宋"/>
          <w:b w:val="0"/>
          <w:bCs/>
          <w:color w:val="auto"/>
          <w:sz w:val="32"/>
          <w:szCs w:val="32"/>
          <w:lang w:val="en-US" w:eastAsia="zh-CN"/>
        </w:rPr>
      </w:pPr>
      <w:r>
        <w:rPr>
          <w:rFonts w:hint="eastAsia" w:ascii="方正仿宋_GBK" w:hAnsi="仿宋" w:eastAsia="方正仿宋_GBK" w:cs="仿宋"/>
          <w:b w:val="0"/>
          <w:bCs/>
          <w:color w:val="auto"/>
          <w:sz w:val="32"/>
          <w:szCs w:val="32"/>
          <w:lang w:val="en-US" w:eastAsia="zh-CN"/>
        </w:rPr>
        <w:t>2.开展意识形态工作。开展意识形态专项检查，组织意识形态专题培训，提升“扫黄打非”斗争水平。</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方正仿宋_GBK" w:hAnsi="仿宋" w:eastAsia="方正仿宋_GBK" w:cs="仿宋"/>
          <w:b w:val="0"/>
          <w:bCs/>
          <w:color w:val="auto"/>
          <w:sz w:val="32"/>
          <w:szCs w:val="32"/>
          <w:lang w:val="en-US" w:eastAsia="zh-CN"/>
        </w:rPr>
      </w:pPr>
      <w:r>
        <w:rPr>
          <w:rFonts w:hint="eastAsia" w:ascii="方正仿宋_GBK" w:hAnsi="仿宋" w:eastAsia="方正仿宋_GBK" w:cs="仿宋"/>
          <w:b w:val="0"/>
          <w:bCs/>
          <w:color w:val="auto"/>
          <w:sz w:val="32"/>
          <w:szCs w:val="32"/>
          <w:lang w:val="en-US" w:eastAsia="zh-CN"/>
        </w:rPr>
        <w:t>3.营造舆论环境。开展媒体宣传，宣传报道数量在全市处于领先水平。</w:t>
      </w:r>
    </w:p>
    <w:p>
      <w:pPr>
        <w:pStyle w:val="2"/>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方正仿宋_GBK" w:hAnsi="仿宋" w:eastAsia="方正仿宋_GBK" w:cs="仿宋"/>
          <w:b w:val="0"/>
          <w:bCs/>
          <w:color w:val="auto"/>
          <w:sz w:val="32"/>
          <w:szCs w:val="32"/>
          <w:lang w:val="en-US" w:eastAsia="zh-CN"/>
        </w:rPr>
      </w:pPr>
      <w:r>
        <w:rPr>
          <w:rFonts w:hint="eastAsia" w:ascii="方正仿宋_GBK" w:hAnsi="仿宋" w:eastAsia="方正仿宋_GBK" w:cs="仿宋"/>
          <w:b w:val="0"/>
          <w:bCs/>
          <w:color w:val="auto"/>
          <w:sz w:val="32"/>
          <w:szCs w:val="32"/>
          <w:lang w:val="en-US" w:eastAsia="zh-CN"/>
        </w:rPr>
        <w:t>4.做好文艺宣传。推出一批优秀文艺作品和群众性文化艺术活动。</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lang w:val="en-US"/>
        </w:rPr>
      </w:pPr>
      <w:r>
        <w:rPr>
          <w:rFonts w:hint="eastAsia" w:ascii="方正仿宋_GBK" w:hAnsi="仿宋" w:eastAsia="方正仿宋_GBK" w:cs="仿宋"/>
          <w:b w:val="0"/>
          <w:bCs/>
          <w:color w:val="auto"/>
          <w:sz w:val="32"/>
          <w:szCs w:val="32"/>
          <w:lang w:val="en-US" w:eastAsia="zh-CN"/>
        </w:rPr>
        <w:t>5.深化精神文明建设。推进全国文明城市创建。</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二、部门整体支出管理及使用情况</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（一）基本支出情况</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方正仿宋_GBK" w:hAnsi="仿宋" w:eastAsia="方正仿宋_GBK" w:cs="仿宋"/>
          <w:sz w:val="32"/>
          <w:szCs w:val="32"/>
        </w:rPr>
      </w:pPr>
      <w:r>
        <w:rPr>
          <w:rFonts w:ascii="方正仿宋_GBK" w:hAnsi="仿宋" w:eastAsia="方正仿宋_GBK" w:cs="仿宋"/>
          <w:sz w:val="32"/>
          <w:szCs w:val="32"/>
        </w:rPr>
        <w:t>202</w:t>
      </w:r>
      <w:r>
        <w:rPr>
          <w:rFonts w:hint="eastAsia" w:ascii="方正仿宋_GBK" w:hAnsi="仿宋" w:eastAsia="方正仿宋_GBK" w:cs="仿宋"/>
          <w:sz w:val="32"/>
          <w:szCs w:val="32"/>
          <w:lang w:val="en-US" w:eastAsia="zh-CN"/>
        </w:rPr>
        <w:t>4</w:t>
      </w:r>
      <w:r>
        <w:rPr>
          <w:rFonts w:hint="eastAsia" w:ascii="方正仿宋_GBK" w:hAnsi="仿宋" w:eastAsia="方正仿宋_GBK" w:cs="仿宋"/>
          <w:sz w:val="32"/>
          <w:szCs w:val="32"/>
        </w:rPr>
        <w:t>年基本支出</w:t>
      </w:r>
      <w:r>
        <w:rPr>
          <w:rFonts w:hint="eastAsia" w:ascii="方正仿宋_GBK" w:hAnsi="仿宋" w:eastAsia="方正仿宋_GBK" w:cs="仿宋"/>
          <w:sz w:val="32"/>
          <w:szCs w:val="32"/>
          <w:lang w:val="en-US" w:eastAsia="zh-CN"/>
        </w:rPr>
        <w:t>342.53</w:t>
      </w:r>
      <w:r>
        <w:rPr>
          <w:rFonts w:hint="eastAsia" w:ascii="方正仿宋_GBK" w:hAnsi="仿宋" w:eastAsia="方正仿宋_GBK" w:cs="仿宋"/>
          <w:sz w:val="32"/>
          <w:szCs w:val="32"/>
        </w:rPr>
        <w:t>万元</w:t>
      </w:r>
      <w:r>
        <w:rPr>
          <w:rFonts w:ascii="方正仿宋_GBK" w:hAnsi="仿宋" w:eastAsia="方正仿宋_GBK" w:cs="仿宋"/>
          <w:sz w:val="32"/>
          <w:szCs w:val="32"/>
        </w:rPr>
        <w:t>，其中：</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ascii="方正仿宋_GBK" w:hAnsi="仿宋" w:eastAsia="方正仿宋_GBK" w:cs="仿宋"/>
          <w:sz w:val="32"/>
          <w:szCs w:val="32"/>
          <w:lang w:eastAsia="zh-CN"/>
        </w:rPr>
      </w:pPr>
      <w:r>
        <w:rPr>
          <w:rFonts w:hint="eastAsia" w:ascii="方正仿宋_GBK" w:hAnsi="仿宋" w:eastAsia="方正仿宋_GBK" w:cs="仿宋"/>
          <w:sz w:val="32"/>
          <w:szCs w:val="32"/>
          <w:lang w:eastAsia="zh-CN"/>
        </w:rPr>
        <w:t>其中</w:t>
      </w:r>
      <w:r>
        <w:rPr>
          <w:rFonts w:hint="eastAsia" w:ascii="方正仿宋_GBK" w:hAnsi="仿宋" w:eastAsia="方正仿宋_GBK" w:cs="仿宋"/>
          <w:sz w:val="32"/>
          <w:szCs w:val="32"/>
          <w:lang w:val="en-US" w:eastAsia="zh-CN"/>
        </w:rPr>
        <w:t>人员类经费</w:t>
      </w:r>
      <w:r>
        <w:rPr>
          <w:rFonts w:hint="eastAsia" w:ascii="方正仿宋_GBK" w:hAnsi="宋体" w:eastAsia="方正仿宋_GBK" w:cs="仿宋_GB2312"/>
          <w:sz w:val="32"/>
          <w:szCs w:val="32"/>
        </w:rPr>
        <w:t>支出</w:t>
      </w:r>
      <w:r>
        <w:rPr>
          <w:rFonts w:hint="eastAsia" w:ascii="方正仿宋_GBK" w:hAnsi="宋体" w:eastAsia="方正仿宋_GBK" w:cs="仿宋_GB2312"/>
          <w:sz w:val="32"/>
          <w:szCs w:val="32"/>
          <w:lang w:val="en-US" w:eastAsia="zh-CN"/>
        </w:rPr>
        <w:t>312.37</w:t>
      </w:r>
      <w:r>
        <w:rPr>
          <w:rFonts w:hint="eastAsia" w:ascii="方正仿宋_GBK" w:hAnsi="宋体" w:eastAsia="方正仿宋_GBK" w:cs="仿宋_GB2312"/>
          <w:sz w:val="32"/>
          <w:szCs w:val="32"/>
        </w:rPr>
        <w:t>万元</w:t>
      </w:r>
      <w:r>
        <w:rPr>
          <w:rFonts w:ascii="方正仿宋_GBK" w:hAnsi="宋体" w:eastAsia="方正仿宋_GBK" w:cs="仿宋_GB2312"/>
          <w:sz w:val="32"/>
          <w:szCs w:val="32"/>
        </w:rPr>
        <w:t>,</w:t>
      </w:r>
      <w:r>
        <w:rPr>
          <w:rFonts w:ascii="方正仿宋_GBK" w:hAnsi="仿宋" w:eastAsia="方正仿宋_GBK" w:cs="仿宋"/>
          <w:sz w:val="32"/>
          <w:szCs w:val="32"/>
        </w:rPr>
        <w:t xml:space="preserve"> </w:t>
      </w:r>
      <w:r>
        <w:rPr>
          <w:rFonts w:hint="eastAsia" w:ascii="方正仿宋_GBK" w:hAnsi="仿宋" w:eastAsia="方正仿宋_GBK" w:cs="仿宋"/>
          <w:sz w:val="32"/>
          <w:szCs w:val="32"/>
        </w:rPr>
        <w:t>占总支出的</w:t>
      </w:r>
      <w:r>
        <w:rPr>
          <w:rFonts w:hint="eastAsia" w:ascii="方正仿宋_GBK" w:hAnsi="仿宋" w:eastAsia="方正仿宋_GBK" w:cs="仿宋"/>
          <w:sz w:val="32"/>
          <w:szCs w:val="32"/>
          <w:lang w:val="en-US" w:eastAsia="zh-CN"/>
        </w:rPr>
        <w:t>91.24</w:t>
      </w:r>
      <w:r>
        <w:rPr>
          <w:rFonts w:ascii="方正仿宋_GBK" w:hAnsi="仿宋" w:eastAsia="方正仿宋_GBK" w:cs="仿宋"/>
          <w:sz w:val="32"/>
          <w:szCs w:val="32"/>
        </w:rPr>
        <w:t>%</w:t>
      </w:r>
      <w:r>
        <w:rPr>
          <w:rFonts w:hint="eastAsia" w:ascii="方正仿宋_GBK" w:hAnsi="仿宋" w:eastAsia="方正仿宋_GBK" w:cs="仿宋"/>
          <w:sz w:val="32"/>
          <w:szCs w:val="32"/>
          <w:lang w:eastAsia="zh-CN"/>
        </w:rPr>
        <w:t>；</w:t>
      </w:r>
      <w:r>
        <w:rPr>
          <w:rFonts w:hint="eastAsia" w:ascii="方正仿宋_GBK" w:hAnsi="仿宋" w:eastAsia="方正仿宋_GBK" w:cs="仿宋"/>
          <w:sz w:val="32"/>
          <w:szCs w:val="32"/>
          <w:lang w:val="en-US" w:eastAsia="zh-CN"/>
        </w:rPr>
        <w:t>公用类经费</w:t>
      </w:r>
      <w:r>
        <w:rPr>
          <w:rFonts w:hint="eastAsia" w:ascii="方正仿宋_GBK" w:hAnsi="宋体" w:eastAsia="方正仿宋_GBK" w:cs="仿宋_GB2312"/>
          <w:sz w:val="32"/>
          <w:szCs w:val="32"/>
        </w:rPr>
        <w:t>支出</w:t>
      </w:r>
      <w:r>
        <w:rPr>
          <w:rFonts w:hint="eastAsia" w:ascii="方正仿宋_GBK" w:hAnsi="宋体" w:eastAsia="方正仿宋_GBK" w:cs="仿宋_GB2312"/>
          <w:sz w:val="32"/>
          <w:szCs w:val="32"/>
          <w:lang w:val="en-US" w:eastAsia="zh-CN"/>
        </w:rPr>
        <w:t>30.16</w:t>
      </w:r>
      <w:r>
        <w:rPr>
          <w:rFonts w:hint="eastAsia" w:ascii="方正仿宋_GBK" w:hAnsi="宋体" w:eastAsia="方正仿宋_GBK" w:cs="仿宋_GB2312"/>
          <w:sz w:val="32"/>
          <w:szCs w:val="32"/>
        </w:rPr>
        <w:t>万元</w:t>
      </w:r>
      <w:r>
        <w:rPr>
          <w:rFonts w:ascii="方正仿宋_GBK" w:hAnsi="宋体" w:eastAsia="方正仿宋_GBK" w:cs="仿宋_GB2312"/>
          <w:sz w:val="32"/>
          <w:szCs w:val="32"/>
        </w:rPr>
        <w:t>,</w:t>
      </w:r>
      <w:r>
        <w:rPr>
          <w:rFonts w:ascii="方正仿宋_GBK" w:hAnsi="仿宋" w:eastAsia="方正仿宋_GBK" w:cs="仿宋"/>
          <w:sz w:val="32"/>
          <w:szCs w:val="32"/>
        </w:rPr>
        <w:t xml:space="preserve"> </w:t>
      </w:r>
      <w:r>
        <w:rPr>
          <w:rFonts w:hint="eastAsia" w:ascii="方正仿宋_GBK" w:hAnsi="仿宋" w:eastAsia="方正仿宋_GBK" w:cs="仿宋"/>
          <w:sz w:val="32"/>
          <w:szCs w:val="32"/>
        </w:rPr>
        <w:t>占总支出的</w:t>
      </w:r>
      <w:r>
        <w:rPr>
          <w:rFonts w:hint="eastAsia" w:ascii="方正仿宋_GBK" w:hAnsi="仿宋" w:eastAsia="方正仿宋_GBK" w:cs="仿宋"/>
          <w:sz w:val="32"/>
          <w:szCs w:val="32"/>
          <w:lang w:val="en-US" w:eastAsia="zh-CN"/>
        </w:rPr>
        <w:t>8.76</w:t>
      </w:r>
      <w:r>
        <w:rPr>
          <w:rFonts w:ascii="方正仿宋_GBK" w:hAnsi="仿宋" w:eastAsia="方正仿宋_GBK" w:cs="仿宋"/>
          <w:sz w:val="32"/>
          <w:szCs w:val="32"/>
        </w:rPr>
        <w:t>%</w:t>
      </w:r>
      <w:r>
        <w:rPr>
          <w:rFonts w:hint="eastAsia" w:ascii="方正仿宋_GBK" w:hAnsi="仿宋" w:eastAsia="方正仿宋_GBK" w:cs="仿宋"/>
          <w:sz w:val="32"/>
          <w:szCs w:val="32"/>
          <w:lang w:eastAsia="zh-CN"/>
        </w:rPr>
        <w:t>。</w:t>
      </w:r>
      <w:r>
        <w:rPr>
          <w:rFonts w:hint="eastAsia" w:ascii="仿宋" w:hAnsi="仿宋" w:eastAsia="仿宋" w:cs="仿宋"/>
          <w:sz w:val="32"/>
          <w:szCs w:val="32"/>
        </w:rPr>
        <w:t>是指为保障单位机构正常运转、完成日常工作任务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完成上级布置的各项中心工作</w:t>
      </w:r>
      <w:r>
        <w:rPr>
          <w:rFonts w:hint="eastAsia" w:ascii="仿宋" w:hAnsi="仿宋" w:eastAsia="仿宋" w:cs="仿宋"/>
          <w:sz w:val="32"/>
          <w:szCs w:val="32"/>
        </w:rPr>
        <w:t>而发生的各项支出以及对村民委员会和村党支部的补助支出，包括用于基本工资、津贴补贴等人员经</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专项资金</w:t>
      </w:r>
      <w:r>
        <w:rPr>
          <w:rFonts w:hint="eastAsia" w:ascii="仿宋" w:hAnsi="仿宋" w:eastAsia="仿宋" w:cs="仿宋"/>
          <w:sz w:val="32"/>
          <w:szCs w:val="32"/>
        </w:rPr>
        <w:t>情况</w:t>
      </w:r>
    </w:p>
    <w:p>
      <w:pPr>
        <w:keepNext w:val="0"/>
        <w:keepLines w:val="0"/>
        <w:pageBreakBefore w:val="0"/>
        <w:widowControl w:val="0"/>
        <w:kinsoku/>
        <w:wordWrap/>
        <w:overflowPunct/>
        <w:topLinePunct w:val="0"/>
        <w:autoSpaceDE/>
        <w:autoSpaceDN/>
        <w:bidi w:val="0"/>
        <w:adjustRightInd/>
        <w:snapToGrid/>
        <w:spacing w:line="240" w:lineRule="atLeas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（三）“三公”经费情况</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因公出国（境）费用</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0。</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公务接待费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2.41万元。</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公务用车购置及运行费</w:t>
      </w:r>
      <w:r>
        <w:rPr>
          <w:rFonts w:hint="eastAsia" w:ascii="仿宋" w:hAnsi="仿宋" w:eastAsia="仿宋" w:cs="仿宋"/>
          <w:sz w:val="32"/>
          <w:szCs w:val="32"/>
          <w:lang w:eastAsia="zh-CN"/>
        </w:rPr>
        <w:t>为</w:t>
      </w:r>
      <w:r>
        <w:rPr>
          <w:rFonts w:hint="eastAsia" w:ascii="仿宋" w:hAnsi="仿宋" w:eastAsia="仿宋" w:cs="仿宋"/>
          <w:sz w:val="32"/>
          <w:szCs w:val="32"/>
          <w:lang w:val="en-US" w:eastAsia="zh-CN"/>
        </w:rPr>
        <w:t>0。</w:t>
      </w:r>
    </w:p>
    <w:p>
      <w:pPr>
        <w:pStyle w:val="2"/>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三、政府性基金预算支出情况</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tLeast"/>
        <w:ind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国有资本经营预算支出情况</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240" w:lineRule="atLeast"/>
        <w:ind w:left="0" w:leftChars="0" w:firstLine="640" w:firstLineChars="200"/>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社会保险基金预算支出情况</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pStyle w:val="2"/>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六</w:t>
      </w:r>
      <w:r>
        <w:rPr>
          <w:rFonts w:hint="eastAsia" w:ascii="黑体" w:hAnsi="黑体" w:eastAsia="黑体" w:cs="黑体"/>
          <w:b w:val="0"/>
          <w:bCs w:val="0"/>
          <w:sz w:val="32"/>
          <w:szCs w:val="32"/>
        </w:rPr>
        <w:t>、部门整体支出绩效情况</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一</w:t>
      </w: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把方向，强引领，在凝心聚魂上下实功。</w:t>
      </w:r>
      <w:r>
        <w:rPr>
          <w:rFonts w:hint="eastAsia" w:ascii="仿宋" w:hAnsi="仿宋" w:eastAsia="仿宋" w:cs="仿宋"/>
          <w:b w:val="0"/>
          <w:bCs w:val="0"/>
          <w:sz w:val="32"/>
          <w:szCs w:val="32"/>
        </w:rPr>
        <w:t>坚持不懈用党的创新理论凝心聚魂，推动理论学习走深走实。一是理论学习常抓常新。将</w:t>
      </w:r>
      <w:r>
        <w:rPr>
          <w:rFonts w:hint="eastAsia" w:ascii="仿宋" w:eastAsia="仿宋" w:cs="仿宋"/>
          <w:b w:val="0"/>
          <w:bCs w:val="0"/>
          <w:sz w:val="32"/>
          <w:szCs w:val="32"/>
        </w:rPr>
        <w:t>学习贯彻</w:t>
      </w:r>
      <w:r>
        <w:rPr>
          <w:rFonts w:ascii="仿宋" w:eastAsia="仿宋" w:cs="仿宋"/>
          <w:b w:val="0"/>
          <w:bCs w:val="0"/>
          <w:sz w:val="32"/>
          <w:szCs w:val="32"/>
        </w:rPr>
        <w:t>习近平新时代中国特色社会主义思想、</w:t>
      </w:r>
      <w:r>
        <w:rPr>
          <w:rFonts w:hint="eastAsia" w:ascii="仿宋" w:eastAsia="仿宋" w:cs="仿宋"/>
          <w:b w:val="0"/>
          <w:bCs w:val="0"/>
          <w:sz w:val="32"/>
          <w:szCs w:val="32"/>
        </w:rPr>
        <w:t>党的二十大和二十届三中全会精神</w:t>
      </w:r>
      <w:r>
        <w:rPr>
          <w:rFonts w:ascii="仿宋" w:eastAsia="仿宋" w:cs="仿宋"/>
          <w:b w:val="0"/>
          <w:bCs w:val="0"/>
          <w:sz w:val="32"/>
          <w:szCs w:val="32"/>
        </w:rPr>
        <w:t>、</w:t>
      </w:r>
      <w:r>
        <w:rPr>
          <w:rFonts w:hint="eastAsia" w:ascii="仿宋" w:eastAsia="仿宋" w:cs="仿宋"/>
          <w:b w:val="0"/>
          <w:bCs w:val="0"/>
          <w:sz w:val="32"/>
          <w:szCs w:val="32"/>
        </w:rPr>
        <w:t>习近平总书记考察湖南重要讲话和指示精神作为理论学习首要内容，</w:t>
      </w:r>
      <w:r>
        <w:rPr>
          <w:rFonts w:hint="eastAsia" w:ascii="仿宋" w:hAnsi="仿宋" w:eastAsia="仿宋" w:cs="仿宋"/>
          <w:b w:val="0"/>
          <w:bCs w:val="0"/>
          <w:sz w:val="32"/>
          <w:szCs w:val="32"/>
          <w:lang w:val="en-US" w:eastAsia="zh-CN" w:bidi="ar-SA"/>
        </w:rPr>
        <w:t>发放政治读物4300册，</w:t>
      </w:r>
      <w:r>
        <w:rPr>
          <w:rFonts w:hint="eastAsia" w:ascii="仿宋" w:hAnsi="仿宋" w:eastAsia="仿宋" w:cs="仿宋"/>
          <w:b w:val="0"/>
          <w:bCs w:val="0"/>
          <w:sz w:val="32"/>
          <w:szCs w:val="32"/>
        </w:rPr>
        <w:t>组织县委理论学习中心组1</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次集中学习，带动全县各级党委（党组）中心组开展专题学习研讨500余次，</w:t>
      </w:r>
      <w:r>
        <w:rPr>
          <w:rFonts w:hint="eastAsia" w:ascii="仿宋" w:eastAsia="仿宋" w:cs="仿宋"/>
          <w:b w:val="0"/>
          <w:bCs w:val="0"/>
          <w:sz w:val="32"/>
          <w:szCs w:val="32"/>
        </w:rPr>
        <w:t>开展4次党纪学习教育专题研讨和“讲政治规矩、强担当作为、树新风正气”教育实践活动，共收集“推动隆回高质量发展”建议106条，持续掀起理论学习热潮</w:t>
      </w:r>
      <w:r>
        <w:rPr>
          <w:rFonts w:hint="eastAsia" w:ascii="仿宋" w:eastAsia="仿宋" w:cs="仿宋"/>
          <w:b w:val="0"/>
          <w:bCs w:val="0"/>
          <w:sz w:val="32"/>
          <w:szCs w:val="32"/>
          <w:lang w:eastAsia="zh-CN"/>
        </w:rPr>
        <w:t>。</w:t>
      </w:r>
      <w:r>
        <w:rPr>
          <w:rFonts w:hint="eastAsia" w:ascii="仿宋" w:hAnsi="仿宋" w:eastAsia="仿宋" w:cs="仿宋"/>
          <w:b w:val="0"/>
          <w:bCs w:val="0"/>
          <w:sz w:val="32"/>
          <w:szCs w:val="32"/>
        </w:rPr>
        <w:t>二是理论宣讲提质增效。</w:t>
      </w:r>
      <w:r>
        <w:rPr>
          <w:rFonts w:hint="eastAsia" w:ascii="仿宋" w:eastAsia="仿宋" w:cs="仿宋"/>
          <w:b w:val="0"/>
          <w:bCs w:val="0"/>
          <w:color w:val="000000"/>
          <w:sz w:val="32"/>
          <w:szCs w:val="32"/>
          <w:shd w:val="clear" w:color="auto" w:fill="FFFFFF"/>
        </w:rPr>
        <w:t>创新开展“举旗帜·送理论”宣讲，全力</w:t>
      </w:r>
      <w:r>
        <w:rPr>
          <w:rFonts w:hint="eastAsia" w:ascii="仿宋" w:hAnsi="仿宋" w:eastAsia="仿宋" w:cs="仿宋"/>
          <w:b w:val="0"/>
          <w:bCs w:val="0"/>
          <w:sz w:val="32"/>
          <w:szCs w:val="32"/>
        </w:rPr>
        <w:t>推进“强国复兴有我”百姓故事主题宣讲，</w:t>
      </w:r>
      <w:r>
        <w:rPr>
          <w:rFonts w:ascii="仿宋" w:hAnsi="仿宋" w:eastAsia="仿宋" w:cs="仿宋"/>
          <w:b w:val="0"/>
          <w:bCs w:val="0"/>
          <w:sz w:val="32"/>
          <w:szCs w:val="32"/>
        </w:rPr>
        <w:t>广泛开展</w:t>
      </w:r>
      <w:r>
        <w:rPr>
          <w:rFonts w:hint="eastAsia" w:ascii="仿宋" w:hAnsi="仿宋" w:eastAsia="仿宋" w:cs="仿宋"/>
          <w:b w:val="0"/>
          <w:bCs w:val="0"/>
          <w:sz w:val="32"/>
          <w:szCs w:val="32"/>
        </w:rPr>
        <w:t>“四下基层”一线宣讲</w:t>
      </w:r>
      <w:r>
        <w:rPr>
          <w:rFonts w:ascii="仿宋" w:hAnsi="仿宋" w:eastAsia="仿宋" w:cs="仿宋"/>
          <w:b w:val="0"/>
          <w:bCs w:val="0"/>
          <w:sz w:val="32"/>
          <w:szCs w:val="32"/>
        </w:rPr>
        <w:t>，强化宣讲队伍</w:t>
      </w:r>
      <w:r>
        <w:rPr>
          <w:rFonts w:hint="eastAsia" w:ascii="仿宋" w:hAnsi="仿宋" w:eastAsia="仿宋" w:cs="仿宋"/>
          <w:b w:val="0"/>
          <w:bCs w:val="0"/>
          <w:sz w:val="32"/>
          <w:szCs w:val="32"/>
        </w:rPr>
        <w:t>，</w:t>
      </w:r>
      <w:r>
        <w:rPr>
          <w:rFonts w:ascii="仿宋" w:hAnsi="仿宋" w:eastAsia="仿宋" w:cs="仿宋"/>
          <w:b w:val="0"/>
          <w:bCs w:val="0"/>
          <w:sz w:val="32"/>
          <w:szCs w:val="32"/>
        </w:rPr>
        <w:t>整合领导干部</w:t>
      </w:r>
      <w:r>
        <w:rPr>
          <w:rFonts w:hint="eastAsia" w:ascii="仿宋" w:hAnsi="仿宋" w:eastAsia="仿宋" w:cs="仿宋"/>
          <w:b w:val="0"/>
          <w:bCs w:val="0"/>
          <w:sz w:val="32"/>
          <w:szCs w:val="32"/>
        </w:rPr>
        <w:t>、</w:t>
      </w:r>
      <w:r>
        <w:rPr>
          <w:rFonts w:ascii="仿宋" w:hAnsi="仿宋" w:eastAsia="仿宋" w:cs="仿宋"/>
          <w:b w:val="0"/>
          <w:bCs w:val="0"/>
          <w:sz w:val="32"/>
          <w:szCs w:val="32"/>
        </w:rPr>
        <w:t>专家学者</w:t>
      </w:r>
      <w:r>
        <w:rPr>
          <w:rFonts w:hint="eastAsia" w:ascii="仿宋" w:hAnsi="仿宋" w:eastAsia="仿宋" w:cs="仿宋"/>
          <w:b w:val="0"/>
          <w:bCs w:val="0"/>
          <w:sz w:val="32"/>
          <w:szCs w:val="32"/>
        </w:rPr>
        <w:t>、</w:t>
      </w:r>
      <w:r>
        <w:rPr>
          <w:rFonts w:ascii="仿宋" w:hAnsi="仿宋" w:eastAsia="仿宋" w:cs="仿宋"/>
          <w:b w:val="0"/>
          <w:bCs w:val="0"/>
          <w:sz w:val="32"/>
          <w:szCs w:val="32"/>
        </w:rPr>
        <w:t>思政教师</w:t>
      </w:r>
      <w:r>
        <w:rPr>
          <w:rFonts w:hint="eastAsia" w:ascii="仿宋" w:hAnsi="仿宋" w:eastAsia="仿宋" w:cs="仿宋"/>
          <w:b w:val="0"/>
          <w:bCs w:val="0"/>
          <w:sz w:val="32"/>
          <w:szCs w:val="32"/>
        </w:rPr>
        <w:t>组建宣讲团，深入机关、社区、学校等地宣讲，</w:t>
      </w:r>
      <w:r>
        <w:rPr>
          <w:rFonts w:hint="eastAsia" w:ascii="仿宋" w:eastAsia="仿宋" w:cs="仿宋"/>
          <w:b w:val="0"/>
          <w:bCs w:val="0"/>
          <w:color w:val="000000"/>
          <w:sz w:val="32"/>
          <w:szCs w:val="32"/>
          <w:shd w:val="clear" w:color="auto" w:fill="FFFFFF"/>
        </w:rPr>
        <w:t>开展</w:t>
      </w:r>
      <w:r>
        <w:rPr>
          <w:rFonts w:hint="eastAsia" w:ascii="仿宋" w:eastAsia="仿宋" w:cs="仿宋"/>
          <w:b w:val="0"/>
          <w:bCs w:val="0"/>
          <w:sz w:val="32"/>
          <w:szCs w:val="32"/>
        </w:rPr>
        <w:t>习近平总书记考察湖南重要讲话精神和党的二十届三中全会精神</w:t>
      </w:r>
      <w:r>
        <w:rPr>
          <w:rFonts w:hint="eastAsia" w:ascii="仿宋" w:eastAsia="仿宋" w:cs="仿宋"/>
          <w:b w:val="0"/>
          <w:bCs w:val="0"/>
          <w:color w:val="000000"/>
          <w:sz w:val="32"/>
          <w:szCs w:val="32"/>
          <w:shd w:val="clear" w:color="auto" w:fill="FFFFFF"/>
        </w:rPr>
        <w:t>各类</w:t>
      </w:r>
      <w:r>
        <w:rPr>
          <w:rFonts w:hint="eastAsia" w:ascii="仿宋" w:eastAsia="仿宋" w:cs="仿宋"/>
          <w:b w:val="0"/>
          <w:bCs w:val="0"/>
          <w:sz w:val="32"/>
          <w:szCs w:val="32"/>
        </w:rPr>
        <w:t>宣传</w:t>
      </w:r>
      <w:r>
        <w:rPr>
          <w:rFonts w:hint="eastAsia" w:ascii="仿宋" w:eastAsia="仿宋" w:cs="仿宋"/>
          <w:b w:val="0"/>
          <w:bCs w:val="0"/>
          <w:color w:val="000000"/>
          <w:sz w:val="32"/>
          <w:szCs w:val="32"/>
          <w:shd w:val="clear" w:color="auto" w:fill="FFFFFF"/>
        </w:rPr>
        <w:t>宣讲100多场(次)，直接受众2万余人次，</w:t>
      </w:r>
      <w:r>
        <w:rPr>
          <w:rFonts w:hint="eastAsia" w:ascii="仿宋" w:hAnsi="仿宋" w:eastAsia="仿宋" w:cs="仿宋"/>
          <w:b w:val="0"/>
          <w:bCs w:val="0"/>
          <w:sz w:val="32"/>
          <w:szCs w:val="32"/>
        </w:rPr>
        <w:t>推动党的创新理论在隆回落地生根。三是理论阵地用好用活。在隆回新闻网、“隆回发布”客户端等开设“聚焦党的二十届三中全会”专题专栏；通过高炮、电子显示屏、宣传栏等方式</w:t>
      </w:r>
      <w:r>
        <w:rPr>
          <w:rFonts w:hint="eastAsia" w:ascii="仿宋" w:hAnsi="仿宋" w:eastAsia="仿宋" w:cs="仿宋"/>
          <w:b w:val="0"/>
          <w:bCs w:val="0"/>
          <w:sz w:val="32"/>
          <w:szCs w:val="32"/>
          <w:lang w:eastAsia="zh-CN"/>
        </w:rPr>
        <w:t>开展政治宣传，</w:t>
      </w:r>
      <w:r>
        <w:rPr>
          <w:rFonts w:hint="eastAsia" w:ascii="仿宋" w:hAnsi="仿宋" w:eastAsia="仿宋" w:cs="仿宋"/>
          <w:b w:val="0"/>
          <w:bCs w:val="0"/>
          <w:sz w:val="32"/>
          <w:szCs w:val="32"/>
        </w:rPr>
        <w:t>“村村响”一天两时段播放党的理论，为持续学习党的理论精神做好保障。</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left"/>
        <w:textAlignment w:val="auto"/>
        <w:rPr>
          <w:rFonts w:ascii="仿宋" w:hAnsi="仿宋" w:eastAsia="仿宋" w:cs="仿宋"/>
          <w:b w:val="0"/>
          <w:bCs w:val="0"/>
          <w:sz w:val="32"/>
          <w:szCs w:val="32"/>
        </w:rPr>
      </w:pP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二</w:t>
      </w: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奏强音，展形象，在壮大舆论上见实效。</w:t>
      </w:r>
      <w:r>
        <w:rPr>
          <w:rFonts w:hint="eastAsia" w:ascii="仿宋" w:hAnsi="仿宋" w:eastAsia="仿宋" w:cs="仿宋"/>
          <w:b w:val="0"/>
          <w:bCs w:val="0"/>
          <w:sz w:val="32"/>
          <w:szCs w:val="32"/>
        </w:rPr>
        <w:t>持续加强正面宣传，让隆回故事讲述更加精彩，隆回声音传播更加响亮。一是主题宣传强势“破圈”。</w:t>
      </w:r>
      <w:r>
        <w:rPr>
          <w:rFonts w:hint="eastAsia" w:ascii="仿宋" w:eastAsia="仿宋" w:cs="仿宋"/>
          <w:b w:val="0"/>
          <w:bCs w:val="0"/>
          <w:color w:val="auto"/>
          <w:spacing w:val="0"/>
          <w:sz w:val="32"/>
          <w:szCs w:val="32"/>
          <w:shd w:val="clear" w:color="auto" w:fill="FFFFFF"/>
          <w:lang w:eastAsia="zh-CN" w:bidi="ar-SA"/>
        </w:rPr>
        <w:t>在</w:t>
      </w:r>
      <w:r>
        <w:rPr>
          <w:rFonts w:hint="eastAsia" w:ascii="仿宋" w:eastAsia="仿宋" w:cs="仿宋"/>
          <w:b w:val="0"/>
          <w:bCs w:val="0"/>
          <w:color w:val="auto"/>
          <w:sz w:val="32"/>
          <w:szCs w:val="32"/>
          <w:lang w:eastAsia="zh-CN" w:bidi="ar-SA"/>
        </w:rPr>
        <w:t>省级以上主流媒体发表稿件</w:t>
      </w:r>
      <w:r>
        <w:rPr>
          <w:rFonts w:hint="eastAsia" w:ascii="仿宋" w:eastAsia="仿宋" w:cs="仿宋"/>
          <w:b w:val="0"/>
          <w:bCs w:val="0"/>
          <w:color w:val="auto"/>
          <w:sz w:val="32"/>
          <w:szCs w:val="32"/>
          <w:lang w:val="en-US" w:eastAsia="zh-CN" w:bidi="ar-SA"/>
        </w:rPr>
        <w:t>10</w:t>
      </w:r>
      <w:r>
        <w:rPr>
          <w:rFonts w:hint="eastAsia" w:ascii="仿宋" w:eastAsia="仿宋" w:cs="仿宋"/>
          <w:b w:val="0"/>
          <w:bCs w:val="0"/>
          <w:color w:val="auto"/>
          <w:sz w:val="32"/>
          <w:szCs w:val="32"/>
          <w:lang w:eastAsia="zh-CN" w:bidi="ar-SA"/>
        </w:rPr>
        <w:t>00余篇，推出了“炭花舞”“街舞老师”“追光男孩”“侨心杯”“草原学校”等系列报道，《滩头年画》在</w:t>
      </w:r>
      <w:r>
        <w:rPr>
          <w:rFonts w:hint="eastAsia" w:ascii="仿宋" w:eastAsia="仿宋" w:cs="仿宋"/>
          <w:b w:val="0"/>
          <w:bCs w:val="0"/>
          <w:color w:val="auto"/>
          <w:sz w:val="32"/>
          <w:szCs w:val="32"/>
          <w:lang w:val="en-US" w:eastAsia="zh-CN" w:bidi="ar-SA"/>
        </w:rPr>
        <w:t>2024年</w:t>
      </w:r>
      <w:r>
        <w:rPr>
          <w:rFonts w:hint="eastAsia" w:ascii="仿宋" w:eastAsia="仿宋" w:cs="仿宋"/>
          <w:b w:val="0"/>
          <w:bCs w:val="0"/>
          <w:color w:val="auto"/>
          <w:sz w:val="32"/>
          <w:szCs w:val="32"/>
          <w:lang w:eastAsia="zh-CN" w:bidi="ar-SA"/>
        </w:rPr>
        <w:t>3月17日的《经济日报》整版报道，</w:t>
      </w:r>
      <w:r>
        <w:rPr>
          <w:rFonts w:hint="eastAsia" w:ascii="仿宋" w:eastAsia="仿宋" w:cs="仿宋"/>
          <w:b w:val="0"/>
          <w:bCs w:val="0"/>
          <w:color w:val="auto"/>
          <w:sz w:val="32"/>
          <w:szCs w:val="32"/>
          <w:lang w:val="en-US" w:eastAsia="zh-CN" w:bidi="ar-SA"/>
        </w:rPr>
        <w:t>9月10日</w:t>
      </w:r>
      <w:r>
        <w:rPr>
          <w:rFonts w:hint="eastAsia" w:ascii="仿宋" w:eastAsia="仿宋" w:cs="仿宋"/>
          <w:b w:val="0"/>
          <w:bCs w:val="0"/>
          <w:color w:val="auto"/>
          <w:sz w:val="32"/>
          <w:szCs w:val="32"/>
          <w:lang w:eastAsia="zh-CN" w:bidi="ar-SA"/>
        </w:rPr>
        <w:t>在《湖南日报》推出草原学校的教师节特别报道，炭花舞在央视等多家主流媒体报道。</w:t>
      </w:r>
      <w:r>
        <w:rPr>
          <w:rFonts w:hint="eastAsia" w:ascii="仿宋" w:hAnsi="仿宋" w:eastAsia="仿宋" w:cs="仿宋"/>
          <w:b w:val="0"/>
          <w:bCs w:val="0"/>
          <w:sz w:val="32"/>
          <w:szCs w:val="32"/>
        </w:rPr>
        <w:t>二是</w:t>
      </w:r>
      <w:r>
        <w:rPr>
          <w:rFonts w:hint="eastAsia" w:ascii="仿宋" w:hAnsi="仿宋" w:eastAsia="仿宋" w:cs="仿宋"/>
          <w:b w:val="0"/>
          <w:bCs w:val="0"/>
          <w:sz w:val="32"/>
          <w:szCs w:val="32"/>
          <w:lang w:eastAsia="zh-CN"/>
        </w:rPr>
        <w:t>媒体融合创新</w:t>
      </w:r>
      <w:r>
        <w:rPr>
          <w:rFonts w:hint="eastAsia" w:ascii="仿宋" w:hAnsi="仿宋" w:eastAsia="仿宋" w:cs="仿宋"/>
          <w:b w:val="0"/>
          <w:bCs w:val="0"/>
          <w:sz w:val="32"/>
          <w:szCs w:val="32"/>
        </w:rPr>
        <w:t>“出圈”。</w:t>
      </w:r>
      <w:r>
        <w:rPr>
          <w:rFonts w:hint="eastAsia" w:ascii="仿宋" w:eastAsia="仿宋" w:cs="仿宋"/>
          <w:b w:val="0"/>
          <w:bCs w:val="0"/>
          <w:color w:val="auto"/>
          <w:sz w:val="32"/>
          <w:szCs w:val="32"/>
          <w:lang w:eastAsia="zh-CN" w:bidi="ar-SA"/>
        </w:rPr>
        <w:t>创新县级媒体融合路径，在全市率先</w:t>
      </w:r>
      <w:r>
        <w:rPr>
          <w:rFonts w:hint="eastAsia" w:ascii="仿宋" w:eastAsia="仿宋" w:cs="仿宋"/>
          <w:b w:val="0"/>
          <w:bCs w:val="0"/>
          <w:color w:val="auto"/>
          <w:sz w:val="32"/>
          <w:szCs w:val="32"/>
          <w:lang w:bidi="ar-SA"/>
        </w:rPr>
        <w:t>成立隆回融媒文化发展有限责任公司</w:t>
      </w:r>
      <w:r>
        <w:rPr>
          <w:rFonts w:hint="eastAsia" w:ascii="仿宋" w:eastAsia="仿宋" w:cs="仿宋"/>
          <w:b w:val="0"/>
          <w:bCs w:val="0"/>
          <w:color w:val="auto"/>
          <w:sz w:val="32"/>
          <w:szCs w:val="32"/>
          <w:lang w:eastAsia="zh-CN" w:bidi="ar-SA"/>
        </w:rPr>
        <w:t>，有效破解传统媒体收支困境。</w:t>
      </w:r>
      <w:r>
        <w:rPr>
          <w:rFonts w:hint="eastAsia" w:ascii="仿宋" w:eastAsia="仿宋" w:cs="仿宋"/>
          <w:b w:val="0"/>
          <w:bCs w:val="0"/>
          <w:color w:val="auto"/>
          <w:sz w:val="32"/>
          <w:szCs w:val="32"/>
          <w:lang w:bidi="ar-SA"/>
        </w:rPr>
        <w:t>“隆回发布”连续两个季度获得全市新闻宣传微信公众号季度影响力榜单（县、区</w:t>
      </w:r>
      <w:r>
        <w:rPr>
          <w:rFonts w:hint="eastAsia" w:ascii="仿宋" w:eastAsia="仿宋" w:cs="仿宋"/>
          <w:b w:val="0"/>
          <w:bCs w:val="0"/>
          <w:sz w:val="32"/>
          <w:szCs w:val="32"/>
          <w:lang w:bidi="ar-SA"/>
        </w:rPr>
        <w:t>）第2名</w:t>
      </w:r>
      <w:r>
        <w:rPr>
          <w:rFonts w:hint="eastAsia" w:ascii="仿宋" w:eastAsia="仿宋" w:cs="仿宋"/>
          <w:b w:val="0"/>
          <w:bCs w:val="0"/>
          <w:color w:val="auto"/>
          <w:sz w:val="32"/>
          <w:szCs w:val="32"/>
          <w:lang w:bidi="ar-SA"/>
        </w:rPr>
        <w:t>。</w:t>
      </w:r>
      <w:r>
        <w:rPr>
          <w:rFonts w:hint="eastAsia" w:ascii="仿宋" w:hAnsi="仿宋" w:eastAsia="仿宋" w:cs="仿宋"/>
          <w:b w:val="0"/>
          <w:bCs w:val="0"/>
          <w:sz w:val="32"/>
          <w:szCs w:val="32"/>
        </w:rPr>
        <w:t>三是社会宣传持续“扩圈”。对</w:t>
      </w:r>
      <w:r>
        <w:rPr>
          <w:rFonts w:hint="eastAsia" w:ascii="仿宋" w:hAnsi="仿宋" w:eastAsia="仿宋" w:cs="仿宋"/>
          <w:b w:val="0"/>
          <w:bCs w:val="0"/>
          <w:sz w:val="32"/>
          <w:szCs w:val="32"/>
          <w:lang w:eastAsia="zh-CN"/>
        </w:rPr>
        <w:t>全</w:t>
      </w:r>
      <w:r>
        <w:rPr>
          <w:rFonts w:hint="eastAsia" w:ascii="仿宋" w:hAnsi="仿宋" w:eastAsia="仿宋" w:cs="仿宋"/>
          <w:b w:val="0"/>
          <w:bCs w:val="0"/>
          <w:sz w:val="32"/>
          <w:szCs w:val="32"/>
        </w:rPr>
        <w:t>县</w:t>
      </w:r>
      <w:r>
        <w:rPr>
          <w:rFonts w:hint="eastAsia" w:ascii="仿宋" w:hAnsi="仿宋" w:eastAsia="仿宋" w:cs="仿宋"/>
          <w:b w:val="0"/>
          <w:bCs w:val="0"/>
          <w:sz w:val="32"/>
          <w:szCs w:val="32"/>
          <w:lang w:eastAsia="zh-CN"/>
        </w:rPr>
        <w:t>社会宣传全面排查，更新一批景观小品，提升县城政治宣传氛围，规范乡镇（街道）、机关社会宣传</w:t>
      </w:r>
      <w:r>
        <w:rPr>
          <w:rFonts w:hint="eastAsia" w:ascii="仿宋" w:hAnsi="仿宋" w:eastAsia="仿宋" w:cs="仿宋"/>
          <w:b w:val="0"/>
          <w:bCs w:val="0"/>
          <w:sz w:val="32"/>
          <w:szCs w:val="32"/>
        </w:rPr>
        <w:t>。</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left"/>
        <w:textAlignment w:val="auto"/>
        <w:rPr>
          <w:rFonts w:ascii="仿宋" w:hAnsi="仿宋" w:eastAsia="仿宋" w:cs="仿宋"/>
          <w:b w:val="0"/>
          <w:bCs w:val="0"/>
          <w:sz w:val="32"/>
          <w:szCs w:val="32"/>
        </w:rPr>
      </w:pP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三</w:t>
      </w: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扬新风，汇合力，在文明建设上办实事。</w:t>
      </w:r>
      <w:r>
        <w:rPr>
          <w:rFonts w:hint="eastAsia" w:ascii="仿宋" w:hAnsi="仿宋" w:eastAsia="仿宋" w:cs="仿宋"/>
          <w:b w:val="0"/>
          <w:bCs w:val="0"/>
          <w:sz w:val="32"/>
          <w:szCs w:val="32"/>
        </w:rPr>
        <w:t>坚持以文化人，以文育人，统筹推进文明培育、文明实践、文明创建等工作。一是文明实践成效明显。充分发挥新时代文明实践阵地作用，加强基层精神文明建设，金石桥镇依托鸭田战斗指挥所开展“红色文化宣讲”“土桥剧场”系列活动，今年以来，全县开展文明实践志愿服务活动4000余场，参与人数达20万人次。</w:t>
      </w:r>
      <w:r>
        <w:rPr>
          <w:rFonts w:hint="eastAsia" w:ascii="仿宋" w:hAnsi="仿宋" w:eastAsia="仿宋" w:cs="仿宋"/>
          <w:b w:val="0"/>
          <w:bCs w:val="0"/>
          <w:color w:val="000000"/>
          <w:sz w:val="32"/>
          <w:szCs w:val="32"/>
        </w:rPr>
        <w:t>六都寨镇新时代文明实践所、归于书院分别获评2023年全省新时代文明实践示范所、示范基地。隆回县金石桥镇金南社区获评2023年邵阳市最佳志愿服务社区。</w:t>
      </w:r>
      <w:r>
        <w:rPr>
          <w:rFonts w:hint="eastAsia" w:ascii="仿宋" w:hAnsi="仿宋" w:eastAsia="仿宋" w:cs="仿宋"/>
          <w:b w:val="0"/>
          <w:bCs w:val="0"/>
          <w:sz w:val="32"/>
          <w:szCs w:val="32"/>
        </w:rPr>
        <w:t>二是扎实开展文明卫生城市创建工作。</w:t>
      </w:r>
      <w:r>
        <w:rPr>
          <w:rFonts w:hint="eastAsia" w:ascii="仿宋" w:hAnsi="仿宋" w:eastAsia="仿宋"/>
          <w:b w:val="0"/>
          <w:bCs w:val="0"/>
          <w:color w:val="000000"/>
          <w:sz w:val="32"/>
          <w:szCs w:val="32"/>
        </w:rPr>
        <w:t>一方面</w:t>
      </w:r>
      <w:r>
        <w:rPr>
          <w:rFonts w:hint="eastAsia" w:ascii="仿宋" w:hAnsi="仿宋" w:eastAsia="仿宋" w:cs="仿宋"/>
          <w:b w:val="0"/>
          <w:bCs w:val="0"/>
          <w:color w:val="000000"/>
          <w:sz w:val="32"/>
          <w:szCs w:val="32"/>
        </w:rPr>
        <w:t>大力修缮城区</w:t>
      </w:r>
      <w:r>
        <w:rPr>
          <w:rFonts w:hint="eastAsia" w:ascii="仿宋" w:hAnsi="仿宋" w:eastAsia="仿宋" w:cs="仿宋"/>
          <w:b w:val="0"/>
          <w:bCs w:val="0"/>
          <w:color w:val="000000"/>
          <w:sz w:val="32"/>
          <w:szCs w:val="32"/>
          <w:lang w:eastAsia="zh-CN"/>
        </w:rPr>
        <w:t>设施</w:t>
      </w:r>
      <w:r>
        <w:rPr>
          <w:rFonts w:hint="eastAsia" w:ascii="仿宋" w:hAnsi="仿宋" w:eastAsia="仿宋" w:cs="仿宋"/>
          <w:b w:val="0"/>
          <w:bCs w:val="0"/>
          <w:color w:val="000000"/>
          <w:sz w:val="32"/>
          <w:szCs w:val="32"/>
        </w:rPr>
        <w:t>。</w:t>
      </w:r>
      <w:r>
        <w:rPr>
          <w:rFonts w:hint="eastAsia" w:ascii="仿宋" w:hAnsi="仿宋" w:eastAsia="仿宋" w:cs="仿宋"/>
          <w:b w:val="0"/>
          <w:bCs w:val="0"/>
          <w:sz w:val="32"/>
          <w:szCs w:val="32"/>
        </w:rPr>
        <w:t>全面排查所有交通场站和公交线路安全系统，优化公交线路报站系统。</w:t>
      </w:r>
      <w:r>
        <w:rPr>
          <w:rFonts w:hint="eastAsia" w:ascii="仿宋" w:hAnsi="仿宋" w:eastAsia="仿宋" w:cs="仿宋"/>
          <w:b w:val="0"/>
          <w:bCs w:val="0"/>
          <w:color w:val="000000"/>
          <w:sz w:val="32"/>
          <w:szCs w:val="32"/>
        </w:rPr>
        <w:t>对县城区建筑围挡巡查治理，确保公益广告面积占比不少于20%。</w:t>
      </w:r>
      <w:r>
        <w:rPr>
          <w:rFonts w:hint="eastAsia" w:ascii="仿宋" w:hAnsi="仿宋" w:eastAsia="仿宋" w:cs="仿宋"/>
          <w:b w:val="0"/>
          <w:bCs w:val="0"/>
          <w:sz w:val="32"/>
          <w:szCs w:val="32"/>
        </w:rPr>
        <w:t>开展城区路灯维修维护，</w:t>
      </w:r>
      <w:r>
        <w:rPr>
          <w:rFonts w:hint="eastAsia" w:ascii="仿宋_GB2312" w:hAnsi="仿宋_GB2312" w:eastAsia="仿宋_GB2312" w:cs="仿宋_GB2312"/>
          <w:b w:val="0"/>
          <w:bCs w:val="0"/>
          <w:sz w:val="32"/>
          <w:szCs w:val="32"/>
        </w:rPr>
        <w:t>确保路灯盏亮率达98%以上，完成对桃洪路、大桥路、桃花路、新村路破损麻石人行道板维修，修补沥青路面2200平方米，另一方面不断提升市民</w:t>
      </w:r>
      <w:r>
        <w:rPr>
          <w:rFonts w:hint="eastAsia" w:ascii="仿宋" w:hAnsi="仿宋" w:eastAsia="仿宋" w:cs="仿宋"/>
          <w:b w:val="0"/>
          <w:bCs w:val="0"/>
          <w:color w:val="000000"/>
          <w:sz w:val="32"/>
          <w:szCs w:val="32"/>
        </w:rPr>
        <w:t>素质</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sz w:val="32"/>
          <w:szCs w:val="32"/>
        </w:rPr>
        <w:t>开展“创文明交通、治秩序乱象”大整治，杜绝“二乱两驾一牌证”，开展“倡导文明出行 文明城市形象”志愿服务，打造畅通有序的市区交通。三是文明新风全域涌动。大力推进移风易俗</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shd w:val="clear" w:color="auto" w:fill="FFFFFF"/>
        </w:rPr>
        <w:t>节俭操办婚丧喜庆事宜</w:t>
      </w:r>
      <w:r>
        <w:rPr>
          <w:rFonts w:hint="eastAsia" w:ascii="仿宋" w:hAnsi="仿宋" w:eastAsia="仿宋" w:cs="仿宋"/>
          <w:b w:val="0"/>
          <w:bCs w:val="0"/>
          <w:sz w:val="32"/>
          <w:szCs w:val="32"/>
          <w:shd w:val="clear" w:color="auto" w:fill="FFFFFF"/>
          <w:lang w:eastAsia="zh-CN"/>
        </w:rPr>
        <w:t>等</w:t>
      </w:r>
      <w:r>
        <w:rPr>
          <w:rFonts w:hint="eastAsia" w:ascii="仿宋" w:hAnsi="仿宋" w:eastAsia="仿宋" w:cs="仿宋"/>
          <w:b w:val="0"/>
          <w:bCs w:val="0"/>
          <w:sz w:val="32"/>
          <w:szCs w:val="32"/>
          <w:shd w:val="clear" w:color="auto" w:fill="FFFFFF"/>
        </w:rPr>
        <w:t>工作</w:t>
      </w:r>
      <w:r>
        <w:rPr>
          <w:rFonts w:hint="eastAsia" w:ascii="仿宋" w:hAnsi="仿宋" w:eastAsia="仿宋" w:cs="仿宋"/>
          <w:b w:val="0"/>
          <w:bCs w:val="0"/>
          <w:sz w:val="32"/>
          <w:szCs w:val="32"/>
          <w:shd w:val="clear" w:color="auto" w:fill="FFFFFF"/>
          <w:lang w:eastAsia="zh-CN"/>
        </w:rPr>
        <w:t>，</w:t>
      </w:r>
      <w:r>
        <w:rPr>
          <w:rFonts w:hint="eastAsia" w:ascii="仿宋" w:hAnsi="仿宋" w:eastAsia="仿宋" w:cs="仿宋"/>
          <w:b w:val="0"/>
          <w:bCs w:val="0"/>
          <w:sz w:val="32"/>
          <w:szCs w:val="32"/>
        </w:rPr>
        <w:t>完善全县25个乡镇（街道）、572个村（社区）村规民约，</w:t>
      </w:r>
      <w:r>
        <w:rPr>
          <w:rFonts w:hint="eastAsia" w:ascii="仿宋" w:hAnsi="仿宋" w:eastAsia="仿宋"/>
          <w:b w:val="0"/>
          <w:bCs w:val="0"/>
          <w:color w:val="000000"/>
          <w:kern w:val="0"/>
          <w:sz w:val="32"/>
          <w:szCs w:val="32"/>
        </w:rPr>
        <w:t>全县文明村和文明乡镇占比分别达到62</w:t>
      </w:r>
      <w:r>
        <w:rPr>
          <w:rFonts w:ascii="仿宋" w:hAnsi="仿宋" w:eastAsia="仿宋"/>
          <w:b w:val="0"/>
          <w:bCs w:val="0"/>
          <w:color w:val="000000"/>
          <w:kern w:val="0"/>
          <w:sz w:val="32"/>
          <w:szCs w:val="32"/>
        </w:rPr>
        <w:t>%</w:t>
      </w:r>
      <w:r>
        <w:rPr>
          <w:rFonts w:hint="eastAsia" w:ascii="仿宋" w:hAnsi="仿宋" w:eastAsia="仿宋"/>
          <w:b w:val="0"/>
          <w:bCs w:val="0"/>
          <w:color w:val="000000"/>
          <w:kern w:val="0"/>
          <w:sz w:val="32"/>
          <w:szCs w:val="32"/>
        </w:rPr>
        <w:t>、75%，六都寨镇张家铺村申报2024年全国文明村镇。</w:t>
      </w:r>
      <w:r>
        <w:rPr>
          <w:rFonts w:hint="eastAsia" w:ascii="仿宋" w:hAnsi="仿宋" w:eastAsia="仿宋" w:cs="仿宋"/>
          <w:b w:val="0"/>
          <w:bCs w:val="0"/>
          <w:color w:val="000000"/>
          <w:sz w:val="32"/>
          <w:szCs w:val="32"/>
        </w:rPr>
        <w:t>打造虎形山瑶族乡崇木凼</w:t>
      </w:r>
      <w:r>
        <w:rPr>
          <w:rFonts w:hint="eastAsia" w:ascii="仿宋" w:hAnsi="仿宋" w:eastAsia="仿宋" w:cs="仿宋"/>
          <w:b w:val="0"/>
          <w:bCs w:val="0"/>
          <w:sz w:val="32"/>
          <w:szCs w:val="32"/>
        </w:rPr>
        <w:t>村</w:t>
      </w:r>
      <w:r>
        <w:rPr>
          <w:rFonts w:hint="eastAsia" w:ascii="仿宋" w:hAnsi="仿宋" w:eastAsia="仿宋" w:cs="仿宋"/>
          <w:b w:val="0"/>
          <w:bCs w:val="0"/>
          <w:color w:val="000000"/>
          <w:sz w:val="32"/>
          <w:szCs w:val="32"/>
        </w:rPr>
        <w:t>等</w:t>
      </w:r>
      <w:r>
        <w:rPr>
          <w:rFonts w:hint="eastAsia" w:ascii="仿宋" w:hAnsi="仿宋" w:eastAsia="仿宋" w:cs="仿宋"/>
          <w:b w:val="0"/>
          <w:bCs w:val="0"/>
          <w:sz w:val="32"/>
          <w:szCs w:val="32"/>
        </w:rPr>
        <w:t>家风家训文化长廊，在金石桥镇成立我县首个乡镇文联。四是榜样力量示范引领。</w:t>
      </w:r>
      <w:r>
        <w:rPr>
          <w:rFonts w:hint="eastAsia" w:ascii="仿宋" w:hAnsi="仿宋" w:eastAsia="仿宋" w:cs="仿宋"/>
          <w:b w:val="0"/>
          <w:bCs w:val="0"/>
          <w:color w:val="000000"/>
          <w:sz w:val="32"/>
          <w:szCs w:val="32"/>
        </w:rPr>
        <w:t>县文明办积极培育推介先进典型人物，推送“邵阳好人”4人,陈美云入选一季度“湖南好人”候选人，易柏英被评为二季度“湖南好人”，推荐丁媞媞、刘青香参评三季度“湖南好人”，县红方红小学马正坤同学参评“湖南省新时代好少年”。全国道德模范提名奖获得者曾玉萍受邀参加新时代邵阳道德模范与身边好人故事分享会和2024年邵阳市未成年人主题教育实践活动；广泛宣传第九届全省道德模范张晓军</w:t>
      </w:r>
      <w:r>
        <w:rPr>
          <w:rFonts w:hint="eastAsia" w:ascii="仿宋" w:hAnsi="仿宋" w:eastAsia="仿宋" w:cs="仿宋"/>
          <w:b w:val="0"/>
          <w:bCs w:val="0"/>
          <w:color w:val="000000"/>
          <w:sz w:val="32"/>
          <w:szCs w:val="32"/>
          <w:lang w:eastAsia="zh-CN"/>
        </w:rPr>
        <w:t>和</w:t>
      </w:r>
      <w:r>
        <w:rPr>
          <w:rFonts w:hint="eastAsia" w:ascii="仿宋" w:hAnsi="仿宋" w:eastAsia="仿宋" w:cs="仿宋"/>
          <w:b w:val="0"/>
          <w:bCs w:val="0"/>
          <w:color w:val="000000"/>
          <w:sz w:val="32"/>
          <w:szCs w:val="32"/>
        </w:rPr>
        <w:t>县第三届道德模范</w:t>
      </w:r>
      <w:r>
        <w:rPr>
          <w:rFonts w:hint="eastAsia" w:ascii="仿宋" w:hAnsi="仿宋" w:eastAsia="仿宋" w:cs="仿宋"/>
          <w:b w:val="0"/>
          <w:bCs w:val="0"/>
          <w:color w:val="000000"/>
          <w:sz w:val="32"/>
          <w:szCs w:val="32"/>
          <w:lang w:eastAsia="zh-CN"/>
        </w:rPr>
        <w:t>先进事迹</w:t>
      </w:r>
      <w:r>
        <w:rPr>
          <w:rFonts w:hint="eastAsia" w:ascii="仿宋" w:hAnsi="仿宋" w:eastAsia="仿宋" w:cs="仿宋"/>
          <w:b w:val="0"/>
          <w:bCs w:val="0"/>
          <w:color w:val="000000"/>
          <w:sz w:val="32"/>
          <w:szCs w:val="32"/>
        </w:rPr>
        <w:t>，营造崇德向善的社会氛围，</w:t>
      </w:r>
      <w:r>
        <w:rPr>
          <w:rFonts w:hint="eastAsia" w:ascii="仿宋" w:hAnsi="仿宋" w:eastAsia="仿宋" w:cs="仿宋"/>
          <w:b w:val="0"/>
          <w:bCs w:val="0"/>
          <w:color w:val="000000"/>
          <w:sz w:val="32"/>
          <w:szCs w:val="27"/>
        </w:rPr>
        <w:t>用榜样力量引领文明风尚，</w:t>
      </w:r>
      <w:r>
        <w:rPr>
          <w:rFonts w:hint="eastAsia" w:ascii="仿宋" w:hAnsi="仿宋" w:eastAsia="仿宋"/>
          <w:b w:val="0"/>
          <w:bCs w:val="0"/>
          <w:sz w:val="32"/>
          <w:szCs w:val="32"/>
        </w:rPr>
        <w:t>社会文明程度得到了有效提升</w:t>
      </w:r>
      <w:r>
        <w:rPr>
          <w:rFonts w:hint="eastAsia" w:ascii="仿宋" w:hAnsi="仿宋" w:eastAsia="仿宋" w:cs="仿宋"/>
          <w:b w:val="0"/>
          <w:bCs w:val="0"/>
          <w:sz w:val="32"/>
          <w:szCs w:val="27"/>
        </w:rPr>
        <w:t>。</w:t>
      </w:r>
    </w:p>
    <w:p>
      <w:pPr>
        <w:keepNext w:val="0"/>
        <w:keepLines w:val="0"/>
        <w:pageBreakBefore w:val="0"/>
        <w:widowControl w:val="0"/>
        <w:kinsoku/>
        <w:wordWrap/>
        <w:overflowPunct/>
        <w:topLinePunct w:val="0"/>
        <w:autoSpaceDE/>
        <w:autoSpaceDN/>
        <w:bidi w:val="0"/>
        <w:adjustRightInd/>
        <w:snapToGrid/>
        <w:spacing w:line="240" w:lineRule="atLeast"/>
        <w:ind w:firstLine="560"/>
        <w:textAlignment w:val="auto"/>
        <w:rPr>
          <w:rFonts w:hint="eastAsia" w:ascii="仿宋" w:eastAsia="仿宋" w:cs="仿宋"/>
          <w:b w:val="0"/>
          <w:bCs w:val="0"/>
          <w:spacing w:val="-11"/>
          <w:sz w:val="32"/>
          <w:szCs w:val="32"/>
        </w:rPr>
      </w:pP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四</w:t>
      </w: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重惠民，谋创新，在文化发展上出实绩。</w:t>
      </w:r>
      <w:r>
        <w:rPr>
          <w:rFonts w:hint="eastAsia" w:ascii="仿宋" w:hAnsi="仿宋" w:eastAsia="仿宋" w:cs="仿宋"/>
          <w:b w:val="0"/>
          <w:bCs w:val="0"/>
          <w:sz w:val="32"/>
          <w:szCs w:val="32"/>
        </w:rPr>
        <w:t>持续丰富文化内涵，创新文化发展，让隆回文化软实力不断进阶。一是文化惠民举措有力。大力弘扬传统文化，</w:t>
      </w:r>
      <w:r>
        <w:rPr>
          <w:rFonts w:hint="eastAsia" w:ascii="仿宋" w:hAnsi="仿宋" w:eastAsia="仿宋" w:cs="仿宋"/>
          <w:b w:val="0"/>
          <w:bCs w:val="0"/>
          <w:color w:val="000000"/>
          <w:sz w:val="32"/>
          <w:szCs w:val="32"/>
        </w:rPr>
        <w:t>围绕“元宵”“端午”</w:t>
      </w:r>
      <w:r>
        <w:rPr>
          <w:rFonts w:hint="eastAsia" w:ascii="仿宋" w:hAnsi="仿宋" w:eastAsia="仿宋" w:cs="仿宋"/>
          <w:b w:val="0"/>
          <w:bCs w:val="0"/>
          <w:sz w:val="32"/>
          <w:szCs w:val="32"/>
        </w:rPr>
        <w:t>等传统节日，以“我在新时代文明实践所站过节”推出一系列主题活动。邀请“呜哇山歌”“花瑶挑花”等非遗传承人定期开展公益培训课。推行“四季村晚”，截至目前，共有66个村（社区）举办冬季、春季“村晚”,30个村（社区）举办夏季“村晚”。组织文艺下乡50余场，深入村落、学校、社区、企业、敬老院等地，多元文化的供给持续满足群众需求。二是文化之花璀璨绽放。</w:t>
      </w:r>
      <w:r>
        <w:rPr>
          <w:rFonts w:hint="eastAsia" w:ascii="仿宋" w:eastAsia="仿宋" w:cs="仿宋"/>
          <w:b w:val="0"/>
          <w:bCs w:val="0"/>
          <w:sz w:val="32"/>
          <w:szCs w:val="32"/>
        </w:rPr>
        <w:t>花瑶呜哇山歌舞台节目《一百只蜜蜂飞过街》在湖南省第十七届“三湘蒲公英”大赛中获金奖，儿童散文集《稻花香里的迷藏》入选国家新闻出版署向青少年推荐的百种重点图书系列，县作协主席陈静获第六届叶圣陶教师文学奖。木雕、农民画、年画共三项8幅作品荣获</w:t>
      </w:r>
      <w:r>
        <w:rPr>
          <w:rFonts w:hint="eastAsia" w:ascii="仿宋" w:hAnsi="仿宋" w:eastAsia="仿宋" w:cs="仿宋"/>
          <w:b w:val="0"/>
          <w:bCs w:val="0"/>
          <w:sz w:val="32"/>
          <w:szCs w:val="32"/>
        </w:rPr>
        <w:t>湖南省工艺美术作品“铜奖”，在中国民协“山花英才”培训中被青州市收藏。</w:t>
      </w:r>
      <w:r>
        <w:rPr>
          <w:rFonts w:hint="eastAsia" w:ascii="仿宋" w:eastAsia="仿宋" w:cs="仿宋"/>
          <w:b w:val="0"/>
          <w:bCs w:val="0"/>
          <w:sz w:val="32"/>
          <w:szCs w:val="32"/>
        </w:rPr>
        <w:t>推进非遗数字化建设，隆回非遗中心获评全国非物质文化遗产保护工作先进集体。完成魏光焘故居修缮暨生平事迹陈列馆开馆，我县被列入省第四次全国文物普查示范县。</w:t>
      </w:r>
      <w:r>
        <w:rPr>
          <w:rFonts w:hint="eastAsia" w:ascii="仿宋" w:hAnsi="仿宋" w:eastAsia="仿宋" w:cs="仿宋"/>
          <w:b w:val="0"/>
          <w:bCs w:val="0"/>
          <w:sz w:val="32"/>
          <w:szCs w:val="32"/>
        </w:rPr>
        <w:t>三是文旅融合稳步向前。</w:t>
      </w:r>
      <w:r>
        <w:rPr>
          <w:rFonts w:hint="eastAsia" w:ascii="仿宋" w:eastAsia="仿宋" w:cs="仿宋"/>
          <w:b w:val="0"/>
          <w:bCs w:val="0"/>
          <w:sz w:val="32"/>
          <w:szCs w:val="32"/>
        </w:rPr>
        <w:t>全县组织开展文旅领域综合整治百日行动，“侨心杯”全国少年足球赛、</w:t>
      </w:r>
      <w:r>
        <w:rPr>
          <w:rFonts w:hint="eastAsia" w:ascii="仿宋" w:eastAsia="仿宋" w:cs="仿宋"/>
          <w:b w:val="0"/>
          <w:bCs w:val="0"/>
          <w:color w:val="000000" w:themeColor="text1"/>
          <w:sz w:val="32"/>
          <w:szCs w:val="32"/>
          <w14:textFill>
            <w14:solidFill>
              <w14:schemeClr w14:val="tx1"/>
            </w14:solidFill>
          </w14:textFill>
        </w:rPr>
        <w:t>“避暑胜境·隆回金银花”杯暨麻塘山乡首届“村BA”篮球赛、</w:t>
      </w:r>
      <w:r>
        <w:rPr>
          <w:rFonts w:hint="eastAsia" w:ascii="仿宋" w:eastAsia="仿宋" w:cs="仿宋"/>
          <w:b w:val="0"/>
          <w:bCs w:val="0"/>
          <w:sz w:val="32"/>
          <w:szCs w:val="32"/>
        </w:rPr>
        <w:t>“神韵雪峰·云上花瑶”第五届非遗音乐会和“讨僚皈”等大型活动在我县成功举办。参加纪念魏源诞辰230周年系列活动，隆回与江苏高邮市、东台市、兴化市三地结</w:t>
      </w:r>
      <w:r>
        <w:rPr>
          <w:rFonts w:hint="eastAsia" w:ascii="仿宋" w:eastAsia="仿宋" w:cs="仿宋"/>
          <w:b w:val="0"/>
          <w:bCs w:val="0"/>
          <w:spacing w:val="-11"/>
          <w:sz w:val="32"/>
          <w:szCs w:val="32"/>
        </w:rPr>
        <w:t>为友好城市</w:t>
      </w:r>
      <w:r>
        <w:rPr>
          <w:rFonts w:hint="eastAsia" w:ascii="仿宋" w:eastAsia="仿宋" w:cs="仿宋"/>
          <w:b w:val="0"/>
          <w:bCs w:val="0"/>
          <w:spacing w:val="-11"/>
          <w:sz w:val="32"/>
          <w:szCs w:val="32"/>
          <w:lang w:eastAsia="zh-CN"/>
        </w:rPr>
        <w:t>，</w:t>
      </w:r>
      <w:r>
        <w:rPr>
          <w:rFonts w:hint="eastAsia" w:ascii="仿宋" w:eastAsia="仿宋" w:cs="仿宋"/>
          <w:b w:val="0"/>
          <w:bCs w:val="0"/>
          <w:spacing w:val="-11"/>
          <w:sz w:val="32"/>
          <w:szCs w:val="32"/>
        </w:rPr>
        <w:t>完成《魏源：睁眼看世界的先驱》纪录片拍摄工作。</w:t>
      </w:r>
    </w:p>
    <w:p>
      <w:pPr>
        <w:keepNext w:val="0"/>
        <w:keepLines w:val="0"/>
        <w:pageBreakBefore w:val="0"/>
        <w:widowControl w:val="0"/>
        <w:kinsoku/>
        <w:wordWrap/>
        <w:overflowPunct/>
        <w:topLinePunct w:val="0"/>
        <w:autoSpaceDE/>
        <w:autoSpaceDN/>
        <w:bidi w:val="0"/>
        <w:adjustRightInd/>
        <w:snapToGrid/>
        <w:spacing w:line="240" w:lineRule="atLeast"/>
        <w:ind w:firstLine="560"/>
        <w:textAlignment w:val="auto"/>
        <w:rPr>
          <w:rFonts w:ascii="仿宋" w:eastAsia="仿宋" w:cs="仿宋"/>
          <w:sz w:val="32"/>
          <w:szCs w:val="32"/>
        </w:rPr>
      </w:pP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五</w:t>
      </w:r>
      <w:r>
        <w:rPr>
          <w:rFonts w:hint="eastAsia" w:ascii="楷体" w:hAnsi="楷体" w:eastAsia="楷体" w:cs="楷体"/>
          <w:b w:val="0"/>
          <w:bCs w:val="0"/>
          <w:sz w:val="32"/>
          <w:szCs w:val="32"/>
          <w:lang w:val="en-US" w:eastAsia="zh-CN"/>
        </w:rPr>
        <w:t>)</w:t>
      </w:r>
      <w:r>
        <w:rPr>
          <w:rFonts w:hint="eastAsia" w:ascii="楷体" w:hAnsi="楷体" w:eastAsia="楷体" w:cs="楷体"/>
          <w:b w:val="0"/>
          <w:bCs w:val="0"/>
          <w:sz w:val="32"/>
          <w:szCs w:val="32"/>
        </w:rPr>
        <w:t>守底线，护稳定，在意识形态上亮实招。</w:t>
      </w:r>
      <w:r>
        <w:rPr>
          <w:rFonts w:hint="eastAsia" w:ascii="仿宋" w:hAnsi="仿宋" w:eastAsia="仿宋" w:cs="仿宋"/>
          <w:b w:val="0"/>
          <w:bCs w:val="0"/>
          <w:sz w:val="32"/>
          <w:szCs w:val="32"/>
        </w:rPr>
        <w:t>一是着力补齐短板。以</w:t>
      </w:r>
      <w:r>
        <w:rPr>
          <w:rFonts w:hint="eastAsia" w:ascii="仿宋" w:eastAsia="仿宋" w:cs="仿宋"/>
          <w:b w:val="0"/>
          <w:bCs w:val="0"/>
          <w:sz w:val="32"/>
          <w:szCs w:val="32"/>
        </w:rPr>
        <w:t>落实省委第九巡视组专项检查意识形态反馈5个方面13个问题的整改工作为契机，制定具体整改措施，督促责任单位狠抓整改落实，后续对整改情况进行了专项抽查督查，目前省委宣传部意识形态处已同意销号12个问题，仅1个问题在阶段性整改中。</w:t>
      </w:r>
      <w:r>
        <w:rPr>
          <w:rFonts w:hint="eastAsia" w:ascii="仿宋" w:hAnsi="仿宋" w:eastAsia="仿宋" w:cs="仿宋"/>
          <w:b w:val="0"/>
          <w:bCs w:val="0"/>
          <w:sz w:val="32"/>
          <w:szCs w:val="32"/>
        </w:rPr>
        <w:t>二是压实主体责任。今年共</w:t>
      </w:r>
      <w:r>
        <w:rPr>
          <w:rFonts w:hint="eastAsia" w:ascii="仿宋" w:eastAsia="仿宋" w:cs="仿宋"/>
          <w:b w:val="0"/>
          <w:bCs w:val="0"/>
          <w:sz w:val="32"/>
          <w:szCs w:val="32"/>
        </w:rPr>
        <w:t>召开2次意识形态工作分析研判会议，对全县意识形态工作有针对性地</w:t>
      </w:r>
      <w:r>
        <w:rPr>
          <w:rFonts w:hint="eastAsia" w:ascii="仿宋" w:hAnsi="仿宋" w:eastAsia="仿宋" w:cs="仿宋"/>
          <w:b w:val="0"/>
          <w:bCs w:val="0"/>
          <w:sz w:val="32"/>
          <w:szCs w:val="32"/>
        </w:rPr>
        <w:t>进行引导。</w:t>
      </w:r>
      <w:r>
        <w:rPr>
          <w:rFonts w:hint="eastAsia" w:ascii="仿宋" w:eastAsia="仿宋" w:cs="仿宋"/>
          <w:b w:val="0"/>
          <w:bCs w:val="0"/>
          <w:sz w:val="32"/>
          <w:szCs w:val="32"/>
        </w:rPr>
        <w:t>配合县委巡察办做好第十三届县委第5轮、第六轮常规巡察。对县委党校、三阁司镇等20个单位开展意识形态工作检查，督促各单位各部门认真落实意识形态工作主体责任</w:t>
      </w:r>
      <w:r>
        <w:rPr>
          <w:rFonts w:hint="eastAsia" w:ascii="仿宋" w:eastAsia="仿宋" w:cs="仿宋"/>
          <w:b w:val="0"/>
          <w:bCs w:val="0"/>
          <w:sz w:val="32"/>
          <w:szCs w:val="32"/>
          <w:lang w:eastAsia="zh-CN"/>
        </w:rPr>
        <w:t>。继续作为省宣舆情信息直报点，被中宣部采用</w:t>
      </w:r>
      <w:r>
        <w:rPr>
          <w:rFonts w:hint="eastAsia" w:ascii="仿宋" w:eastAsia="仿宋" w:cs="仿宋"/>
          <w:b w:val="0"/>
          <w:bCs w:val="0"/>
          <w:sz w:val="32"/>
          <w:szCs w:val="32"/>
          <w:lang w:val="en-US" w:eastAsia="zh-CN"/>
        </w:rPr>
        <w:t>2篇信息</w:t>
      </w:r>
      <w:r>
        <w:rPr>
          <w:rFonts w:hint="eastAsia" w:ascii="仿宋" w:eastAsia="仿宋" w:cs="仿宋"/>
          <w:b w:val="0"/>
          <w:bCs w:val="0"/>
          <w:sz w:val="32"/>
          <w:szCs w:val="32"/>
        </w:rPr>
        <w:t>。</w:t>
      </w:r>
      <w:r>
        <w:rPr>
          <w:rFonts w:hint="eastAsia" w:ascii="仿宋" w:hAnsi="仿宋" w:eastAsia="仿宋" w:cs="仿宋"/>
          <w:b w:val="0"/>
          <w:bCs w:val="0"/>
          <w:sz w:val="32"/>
          <w:szCs w:val="32"/>
        </w:rPr>
        <w:t>三是推进“扫黄打非”。</w:t>
      </w:r>
      <w:r>
        <w:rPr>
          <w:rFonts w:hint="eastAsia" w:ascii="仿宋" w:hAnsi="仿宋" w:eastAsia="仿宋"/>
          <w:b w:val="0"/>
          <w:bCs w:val="0"/>
          <w:sz w:val="32"/>
          <w:szCs w:val="32"/>
        </w:rPr>
        <w:t>严厉打击各类非法出版传播活动，突出对全县印刷、发行、寄递、等企业进行集中督导检查，对全县打字复印店、网络书店纳入台账式管理。深入开展“净网”“护苗”“秋风”等专项行动，在全县中小学校广泛开展“绿书签”活动宣传。今年共</w:t>
      </w:r>
      <w:r>
        <w:rPr>
          <w:rFonts w:hint="eastAsia" w:ascii="仿宋" w:eastAsia="仿宋" w:cs="仿宋"/>
          <w:b w:val="0"/>
          <w:bCs w:val="0"/>
          <w:sz w:val="32"/>
          <w:szCs w:val="32"/>
        </w:rPr>
        <w:t>查处“扫黄打非”案件21件。妥善处置不良信息650余条，较大负面舆情8起。</w:t>
      </w:r>
      <w:r>
        <w:rPr>
          <w:rFonts w:hint="eastAsia" w:ascii="仿宋" w:hAnsi="仿宋" w:eastAsia="仿宋"/>
          <w:b w:val="0"/>
          <w:bCs w:val="0"/>
          <w:sz w:val="32"/>
          <w:szCs w:val="32"/>
        </w:rPr>
        <w:t>与网信、公安等部门密切合作，深入开展“利剑护蕾”“防网络沉迷”等宣传教育工作，护助未成年人健康成长。</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atLeas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存在的问题</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rPr>
      </w:pPr>
      <w:r>
        <w:rPr>
          <w:rFonts w:hint="eastAsia" w:ascii="方正仿宋_GBK" w:hAnsi="仿宋" w:eastAsia="方正仿宋_GBK" w:cs="仿宋"/>
          <w:sz w:val="32"/>
          <w:szCs w:val="32"/>
        </w:rPr>
        <w:t>预算编制与资金到位有时间差，尤其是项目资金，计划下达、审批程序繁杂，资金到位时间太晚，造成当年项目跨年实施。</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240" w:lineRule="atLeas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改进措施及有关建议</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ascii="方正仿宋_GBK" w:hAnsi="仿宋" w:eastAsia="方正仿宋_GBK" w:cs="仿宋"/>
          <w:sz w:val="32"/>
          <w:szCs w:val="32"/>
        </w:rPr>
      </w:pPr>
      <w:r>
        <w:rPr>
          <w:rFonts w:ascii="方正仿宋_GBK" w:hAnsi="仿宋" w:eastAsia="方正仿宋_GBK" w:cs="仿宋"/>
          <w:sz w:val="32"/>
          <w:szCs w:val="32"/>
        </w:rPr>
        <w:t>1</w:t>
      </w:r>
      <w:r>
        <w:rPr>
          <w:rFonts w:hint="eastAsia" w:ascii="方正仿宋_GBK" w:hAnsi="仿宋" w:eastAsia="方正仿宋_GBK" w:cs="仿宋"/>
          <w:sz w:val="32"/>
          <w:szCs w:val="32"/>
          <w:lang w:val="en-US" w:eastAsia="zh-CN"/>
        </w:rPr>
        <w:t>.</w:t>
      </w:r>
      <w:r>
        <w:rPr>
          <w:rFonts w:hint="eastAsia" w:ascii="方正仿宋_GBK" w:hAnsi="仿宋" w:eastAsia="方正仿宋_GBK" w:cs="仿宋"/>
          <w:sz w:val="32"/>
          <w:szCs w:val="32"/>
        </w:rPr>
        <w:t>建议加强新《预算法》、《行政单位会计制度》等的学习培训。</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outlineLvl w:val="9"/>
        <w:rPr>
          <w:rFonts w:hint="eastAsia"/>
        </w:rPr>
      </w:pPr>
      <w:r>
        <w:rPr>
          <w:rFonts w:hint="eastAsia" w:ascii="方正仿宋_GBK" w:eastAsia="方正仿宋_GBK"/>
          <w:sz w:val="32"/>
          <w:szCs w:val="32"/>
          <w:lang w:val="en-US" w:eastAsia="zh-CN"/>
        </w:rPr>
        <w:t>2</w:t>
      </w:r>
      <w:r>
        <w:rPr>
          <w:rFonts w:ascii="方正仿宋_GBK" w:eastAsia="方正仿宋_GBK"/>
          <w:sz w:val="32"/>
          <w:szCs w:val="32"/>
        </w:rPr>
        <w:t>.</w:t>
      </w:r>
      <w:r>
        <w:rPr>
          <w:rFonts w:hint="eastAsia" w:ascii="方正仿宋_GBK" w:eastAsia="方正仿宋_GBK"/>
          <w:sz w:val="32"/>
          <w:szCs w:val="32"/>
        </w:rPr>
        <w:t>进一步完善财务管理制度。合理规范使用经费。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1.部门整体支出绩效评价基础数据表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2.部门整体支出绩效自评表</w:t>
      </w:r>
    </w:p>
    <w:p>
      <w:pPr>
        <w:rPr>
          <w:rFonts w:hint="eastAsia" w:ascii="仿宋_GB2312" w:hAnsi="仿宋_GB2312" w:eastAsia="仿宋_GB2312" w:cs="仿宋_GB2312"/>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tLeast"/>
        <w:ind w:firstLine="5120" w:firstLineChars="16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中共隆回县委宣传部</w:t>
      </w:r>
    </w:p>
    <w:p>
      <w:pPr>
        <w:pStyle w:val="2"/>
        <w:keepNext w:val="0"/>
        <w:keepLines w:val="0"/>
        <w:pageBreakBefore w:val="0"/>
        <w:widowControl w:val="0"/>
        <w:kinsoku/>
        <w:wordWrap/>
        <w:overflowPunct/>
        <w:topLinePunct w:val="0"/>
        <w:autoSpaceDE/>
        <w:autoSpaceDN/>
        <w:bidi w:val="0"/>
        <w:adjustRightInd/>
        <w:snapToGrid/>
        <w:spacing w:line="240" w:lineRule="atLeast"/>
        <w:ind w:firstLine="5120" w:firstLineChars="1600"/>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2025年 4 月 22日</w:t>
      </w:r>
    </w:p>
    <w:p>
      <w:pPr>
        <w:rPr>
          <w:rFonts w:hint="eastAsia" w:ascii="仿宋" w:hAnsi="仿宋" w:eastAsia="仿宋" w:cs="仿宋"/>
          <w:kern w:val="0"/>
          <w:sz w:val="32"/>
          <w:szCs w:val="32"/>
          <w:lang w:val="en-US" w:eastAsia="zh-CN"/>
        </w:rPr>
      </w:pPr>
    </w:p>
    <w:p>
      <w:pPr>
        <w:pStyle w:val="2"/>
        <w:rPr>
          <w:rFonts w:hint="eastAsia" w:ascii="仿宋" w:hAnsi="仿宋" w:eastAsia="仿宋" w:cs="仿宋"/>
          <w:kern w:val="0"/>
          <w:sz w:val="32"/>
          <w:szCs w:val="32"/>
          <w:lang w:val="en-US" w:eastAsia="zh-CN"/>
        </w:rPr>
      </w:pPr>
    </w:p>
    <w:p>
      <w:pPr>
        <w:rPr>
          <w:rFonts w:hint="eastAsia" w:ascii="仿宋" w:hAnsi="仿宋" w:eastAsia="仿宋" w:cs="仿宋"/>
          <w:kern w:val="0"/>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3</w:t>
      </w:r>
    </w:p>
    <w:p>
      <w:pPr>
        <w:spacing w:line="600" w:lineRule="exact"/>
        <w:jc w:val="center"/>
        <w:rPr>
          <w:rFonts w:hint="eastAsia" w:ascii="方正大标宋简体" w:hAnsi="方正大标宋简体" w:eastAsia="方正大标宋简体" w:cs="方正大标宋简体"/>
          <w:b w:val="0"/>
          <w:bCs/>
          <w:kern w:val="0"/>
          <w:sz w:val="44"/>
          <w:szCs w:val="44"/>
          <w:lang w:eastAsia="zh-CN"/>
        </w:rPr>
      </w:pPr>
      <w:r>
        <w:rPr>
          <w:rFonts w:hint="eastAsia" w:ascii="方正大标宋简体" w:hAnsi="方正大标宋简体" w:eastAsia="方正大标宋简体" w:cs="方正大标宋简体"/>
          <w:b w:val="0"/>
          <w:bCs/>
          <w:kern w:val="0"/>
          <w:sz w:val="44"/>
          <w:szCs w:val="44"/>
          <w:lang w:eastAsia="zh-CN"/>
        </w:rPr>
        <w:t>部门整体支出绩效评价基础数据表</w:t>
      </w:r>
    </w:p>
    <w:tbl>
      <w:tblPr>
        <w:tblStyle w:val="9"/>
        <w:tblpPr w:leftFromText="180" w:rightFromText="180" w:vertAnchor="text" w:tblpXSpec="center" w:tblpY="386"/>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4"/>
        <w:gridCol w:w="1055"/>
        <w:gridCol w:w="1091"/>
        <w:gridCol w:w="1251"/>
        <w:gridCol w:w="1079"/>
        <w:gridCol w:w="1129"/>
        <w:gridCol w:w="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pPr>
              <w:pStyle w:val="7"/>
              <w:ind w:left="0" w:leftChars="0" w:firstLine="0" w:firstLineChars="0"/>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单位名称</w:t>
            </w:r>
          </w:p>
        </w:tc>
        <w:tc>
          <w:tcPr>
            <w:tcW w:w="5870" w:type="dxa"/>
            <w:gridSpan w:val="6"/>
            <w:vAlign w:val="center"/>
          </w:tcPr>
          <w:p>
            <w:pPr>
              <w:pStyle w:val="7"/>
              <w:jc w:val="center"/>
              <w:rPr>
                <w:rFonts w:hint="eastAsia" w:ascii="仿宋" w:hAnsi="仿宋" w:eastAsia="仿宋" w:cs="仿宋"/>
                <w:b w:val="0"/>
                <w:bCs w:val="0"/>
                <w:kern w:val="0"/>
                <w:sz w:val="21"/>
                <w:szCs w:val="21"/>
                <w:vertAlign w:val="baseline"/>
                <w:lang w:val="en-US" w:eastAsia="zh-CN"/>
              </w:rPr>
            </w:pPr>
            <w:bookmarkStart w:id="3" w:name="OLE_LINK4"/>
            <w:r>
              <w:rPr>
                <w:rFonts w:hint="eastAsia" w:ascii="仿宋" w:hAnsi="仿宋" w:eastAsia="仿宋" w:cs="仿宋"/>
                <w:b w:val="0"/>
                <w:bCs w:val="0"/>
                <w:kern w:val="0"/>
                <w:sz w:val="21"/>
                <w:szCs w:val="21"/>
                <w:vertAlign w:val="baseline"/>
                <w:lang w:val="en-US" w:eastAsia="zh-CN"/>
              </w:rPr>
              <w:t>中共隆回县委宣传部</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Merge w:val="restart"/>
            <w:vAlign w:val="center"/>
          </w:tcPr>
          <w:p>
            <w:pPr>
              <w:pStyle w:val="7"/>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财政供养人员情况</w:t>
            </w:r>
          </w:p>
        </w:tc>
        <w:tc>
          <w:tcPr>
            <w:tcW w:w="1933" w:type="dxa"/>
            <w:gridSpan w:val="2"/>
            <w:vAlign w:val="center"/>
          </w:tcPr>
          <w:p>
            <w:pPr>
              <w:pStyle w:val="7"/>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编制数</w:t>
            </w:r>
          </w:p>
        </w:tc>
        <w:tc>
          <w:tcPr>
            <w:tcW w:w="2099" w:type="dxa"/>
            <w:gridSpan w:val="2"/>
            <w:vAlign w:val="center"/>
          </w:tcPr>
          <w:p>
            <w:pPr>
              <w:pStyle w:val="7"/>
              <w:jc w:val="center"/>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2024年实际在职人数</w:t>
            </w:r>
          </w:p>
        </w:tc>
        <w:tc>
          <w:tcPr>
            <w:tcW w:w="1838" w:type="dxa"/>
            <w:gridSpan w:val="2"/>
            <w:vAlign w:val="center"/>
          </w:tcPr>
          <w:p>
            <w:pPr>
              <w:pStyle w:val="7"/>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Merge w:val="continue"/>
            <w:vAlign w:val="center"/>
          </w:tcPr>
          <w:p>
            <w:pPr>
              <w:pStyle w:val="7"/>
              <w:jc w:val="center"/>
              <w:rPr>
                <w:rFonts w:hint="eastAsia" w:ascii="仿宋" w:hAnsi="仿宋" w:eastAsia="仿宋" w:cs="仿宋"/>
                <w:b w:val="0"/>
                <w:bCs w:val="0"/>
                <w:kern w:val="0"/>
                <w:sz w:val="21"/>
                <w:szCs w:val="21"/>
                <w:vertAlign w:val="baseline"/>
                <w:lang w:eastAsia="zh-CN"/>
              </w:rPr>
            </w:pPr>
          </w:p>
        </w:tc>
        <w:tc>
          <w:tcPr>
            <w:tcW w:w="1933"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28</w:t>
            </w:r>
          </w:p>
        </w:tc>
        <w:tc>
          <w:tcPr>
            <w:tcW w:w="2099"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24</w:t>
            </w:r>
          </w:p>
        </w:tc>
        <w:tc>
          <w:tcPr>
            <w:tcW w:w="1838"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85.71%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pPr>
              <w:pStyle w:val="7"/>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经费控制情况（万元）</w:t>
            </w:r>
          </w:p>
        </w:tc>
        <w:tc>
          <w:tcPr>
            <w:tcW w:w="1933" w:type="dxa"/>
            <w:gridSpan w:val="2"/>
            <w:vAlign w:val="center"/>
          </w:tcPr>
          <w:p>
            <w:pPr>
              <w:pStyle w:val="7"/>
              <w:ind w:left="0" w:leftChars="0" w:firstLine="0" w:firstLineChars="0"/>
              <w:jc w:val="center"/>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2023年决算数</w:t>
            </w:r>
          </w:p>
        </w:tc>
        <w:tc>
          <w:tcPr>
            <w:tcW w:w="2099" w:type="dxa"/>
            <w:gridSpan w:val="2"/>
            <w:vAlign w:val="center"/>
          </w:tcPr>
          <w:p>
            <w:pPr>
              <w:pStyle w:val="7"/>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val="en-US" w:eastAsia="zh-CN"/>
              </w:rPr>
              <w:t>2024年预算数</w:t>
            </w:r>
          </w:p>
        </w:tc>
        <w:tc>
          <w:tcPr>
            <w:tcW w:w="1838" w:type="dxa"/>
            <w:gridSpan w:val="2"/>
            <w:vAlign w:val="center"/>
          </w:tcPr>
          <w:p>
            <w:pPr>
              <w:pStyle w:val="7"/>
              <w:jc w:val="center"/>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2024年决算数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300" w:type="dxa"/>
            <w:vAlign w:val="center"/>
          </w:tcPr>
          <w:p>
            <w:pPr>
              <w:pStyle w:val="7"/>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三公经费：</w:t>
            </w:r>
          </w:p>
        </w:tc>
        <w:tc>
          <w:tcPr>
            <w:tcW w:w="1933"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5.42</w:t>
            </w:r>
          </w:p>
        </w:tc>
        <w:tc>
          <w:tcPr>
            <w:tcW w:w="2099"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2.7</w:t>
            </w:r>
          </w:p>
        </w:tc>
        <w:tc>
          <w:tcPr>
            <w:tcW w:w="1838"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00" w:type="dxa"/>
            <w:vAlign w:val="center"/>
          </w:tcPr>
          <w:p>
            <w:pPr>
              <w:pStyle w:val="7"/>
              <w:numPr>
                <w:ilvl w:val="0"/>
                <w:numId w:val="3"/>
              </w:numPr>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公务用车购置和维护</w:t>
            </w:r>
          </w:p>
          <w:p>
            <w:pPr>
              <w:pStyle w:val="7"/>
              <w:numPr>
                <w:ilvl w:val="0"/>
                <w:numId w:val="0"/>
              </w:numPr>
              <w:ind w:left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经费</w:t>
            </w:r>
          </w:p>
        </w:tc>
        <w:tc>
          <w:tcPr>
            <w:tcW w:w="1933"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99"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1838"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300" w:type="dxa"/>
            <w:vAlign w:val="center"/>
          </w:tcPr>
          <w:p>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其中：公车购置</w:t>
            </w:r>
          </w:p>
        </w:tc>
        <w:tc>
          <w:tcPr>
            <w:tcW w:w="1933"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Align w:val="center"/>
          </w:tcPr>
          <w:p>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公车运行维护</w:t>
            </w:r>
          </w:p>
        </w:tc>
        <w:tc>
          <w:tcPr>
            <w:tcW w:w="1933"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2、出国经费</w:t>
            </w:r>
          </w:p>
        </w:tc>
        <w:tc>
          <w:tcPr>
            <w:tcW w:w="1933"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2099"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c>
          <w:tcPr>
            <w:tcW w:w="1838"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300" w:type="dxa"/>
            <w:vAlign w:val="center"/>
          </w:tcPr>
          <w:p>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3、公务接待费</w:t>
            </w:r>
          </w:p>
        </w:tc>
        <w:tc>
          <w:tcPr>
            <w:tcW w:w="1933"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5.42</w:t>
            </w:r>
          </w:p>
        </w:tc>
        <w:tc>
          <w:tcPr>
            <w:tcW w:w="2099"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2.7</w:t>
            </w:r>
          </w:p>
        </w:tc>
        <w:tc>
          <w:tcPr>
            <w:tcW w:w="1838"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300" w:type="dxa"/>
            <w:vAlign w:val="center"/>
          </w:tcPr>
          <w:p>
            <w:pPr>
              <w:pStyle w:val="7"/>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县级专项资金：</w:t>
            </w:r>
          </w:p>
        </w:tc>
        <w:tc>
          <w:tcPr>
            <w:tcW w:w="1933"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Align w:val="center"/>
          </w:tcPr>
          <w:p>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1、业务工作经费</w:t>
            </w:r>
          </w:p>
        </w:tc>
        <w:tc>
          <w:tcPr>
            <w:tcW w:w="1933"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2、运行维护经费</w:t>
            </w:r>
          </w:p>
        </w:tc>
        <w:tc>
          <w:tcPr>
            <w:tcW w:w="1933"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300" w:type="dxa"/>
            <w:vAlign w:val="center"/>
          </w:tcPr>
          <w:p>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3、其他专项资金（每个专项一行）</w:t>
            </w:r>
          </w:p>
        </w:tc>
        <w:tc>
          <w:tcPr>
            <w:tcW w:w="1933"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pPr>
              <w:pStyle w:val="7"/>
              <w:ind w:left="0" w:leftChars="0" w:firstLine="0" w:firstLineChars="0"/>
              <w:jc w:val="left"/>
              <w:rPr>
                <w:rFonts w:hint="eastAsia"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4.中央、省、市专项资金</w:t>
            </w:r>
          </w:p>
        </w:tc>
        <w:tc>
          <w:tcPr>
            <w:tcW w:w="1933"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300" w:type="dxa"/>
            <w:vAlign w:val="center"/>
          </w:tcPr>
          <w:p>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val="en-US" w:eastAsia="zh-CN"/>
              </w:rPr>
              <w:t>......</w:t>
            </w:r>
          </w:p>
        </w:tc>
        <w:tc>
          <w:tcPr>
            <w:tcW w:w="1933"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300" w:type="dxa"/>
            <w:vAlign w:val="center"/>
          </w:tcPr>
          <w:p>
            <w:pPr>
              <w:pStyle w:val="7"/>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公用经费</w:t>
            </w:r>
          </w:p>
        </w:tc>
        <w:tc>
          <w:tcPr>
            <w:tcW w:w="1933"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106.42</w:t>
            </w:r>
          </w:p>
        </w:tc>
        <w:tc>
          <w:tcPr>
            <w:tcW w:w="2099"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21.45</w:t>
            </w:r>
          </w:p>
        </w:tc>
        <w:tc>
          <w:tcPr>
            <w:tcW w:w="1838"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46.18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300" w:type="dxa"/>
            <w:vAlign w:val="center"/>
          </w:tcPr>
          <w:p>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其中：办公经费</w:t>
            </w:r>
          </w:p>
        </w:tc>
        <w:tc>
          <w:tcPr>
            <w:tcW w:w="1933"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2.93</w:t>
            </w:r>
          </w:p>
        </w:tc>
        <w:tc>
          <w:tcPr>
            <w:tcW w:w="2099"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6.03</w:t>
            </w:r>
          </w:p>
        </w:tc>
        <w:tc>
          <w:tcPr>
            <w:tcW w:w="1838"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2300" w:type="dxa"/>
            <w:vAlign w:val="center"/>
          </w:tcPr>
          <w:p>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水费、电费、差旅费</w:t>
            </w:r>
          </w:p>
        </w:tc>
        <w:tc>
          <w:tcPr>
            <w:tcW w:w="1933"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73.07</w:t>
            </w:r>
          </w:p>
        </w:tc>
        <w:tc>
          <w:tcPr>
            <w:tcW w:w="2099"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7.9</w:t>
            </w:r>
          </w:p>
        </w:tc>
        <w:tc>
          <w:tcPr>
            <w:tcW w:w="1838"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2300" w:type="dxa"/>
            <w:vAlign w:val="center"/>
          </w:tcPr>
          <w:p>
            <w:pPr>
              <w:pStyle w:val="7"/>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会议费、培训费</w:t>
            </w:r>
          </w:p>
        </w:tc>
        <w:tc>
          <w:tcPr>
            <w:tcW w:w="1933"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30.42</w:t>
            </w:r>
          </w:p>
        </w:tc>
        <w:tc>
          <w:tcPr>
            <w:tcW w:w="2099"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7.52</w:t>
            </w:r>
          </w:p>
        </w:tc>
        <w:tc>
          <w:tcPr>
            <w:tcW w:w="1838"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11.32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300" w:type="dxa"/>
            <w:vAlign w:val="center"/>
          </w:tcPr>
          <w:p>
            <w:pPr>
              <w:pStyle w:val="7"/>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政府采购金额</w:t>
            </w:r>
          </w:p>
        </w:tc>
        <w:tc>
          <w:tcPr>
            <w:tcW w:w="1933"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208.1</w:t>
            </w:r>
          </w:p>
        </w:tc>
        <w:tc>
          <w:tcPr>
            <w:tcW w:w="2099"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w:t>
            </w:r>
          </w:p>
        </w:tc>
        <w:tc>
          <w:tcPr>
            <w:tcW w:w="1838" w:type="dxa"/>
            <w:gridSpan w:val="2"/>
            <w:vAlign w:val="center"/>
          </w:tcPr>
          <w:p>
            <w:pPr>
              <w:pStyle w:val="7"/>
              <w:jc w:val="center"/>
              <w:rPr>
                <w:rFonts w:hint="default" w:ascii="仿宋" w:hAnsi="仿宋" w:eastAsia="仿宋" w:cs="仿宋"/>
                <w:b w:val="0"/>
                <w:bCs w:val="0"/>
                <w:kern w:val="0"/>
                <w:sz w:val="21"/>
                <w:szCs w:val="21"/>
                <w:vertAlign w:val="baseline"/>
                <w:lang w:val="en-US" w:eastAsia="zh-CN"/>
              </w:rPr>
            </w:pPr>
            <w:r>
              <w:rPr>
                <w:rFonts w:hint="eastAsia" w:ascii="仿宋" w:hAnsi="仿宋" w:eastAsia="仿宋" w:cs="仿宋"/>
                <w:b w:val="0"/>
                <w:bCs w:val="0"/>
                <w:kern w:val="0"/>
                <w:sz w:val="21"/>
                <w:szCs w:val="21"/>
                <w:vertAlign w:val="baseline"/>
                <w:lang w:val="en-US" w:eastAsia="zh-CN"/>
              </w:rPr>
              <w:t>350.68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300" w:type="dxa"/>
            <w:vAlign w:val="center"/>
          </w:tcPr>
          <w:p>
            <w:pPr>
              <w:pStyle w:val="7"/>
              <w:ind w:left="0" w:leftChars="0" w:firstLine="0" w:firstLineChars="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部门基本支出预算调整</w:t>
            </w:r>
          </w:p>
        </w:tc>
        <w:tc>
          <w:tcPr>
            <w:tcW w:w="1933"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2099"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c>
          <w:tcPr>
            <w:tcW w:w="1838" w:type="dxa"/>
            <w:gridSpan w:val="2"/>
            <w:vAlign w:val="center"/>
          </w:tcPr>
          <w:p>
            <w:pPr>
              <w:pStyle w:val="7"/>
              <w:jc w:val="center"/>
              <w:rPr>
                <w:rFonts w:hint="eastAsia" w:ascii="仿宋" w:hAnsi="仿宋" w:eastAsia="仿宋" w:cs="仿宋"/>
                <w:b w:val="0"/>
                <w:bCs w:val="0"/>
                <w:kern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300" w:type="dxa"/>
            <w:vMerge w:val="restart"/>
            <w:vAlign w:val="center"/>
          </w:tcPr>
          <w:p>
            <w:pPr>
              <w:pStyle w:val="7"/>
              <w:ind w:left="210" w:leftChars="0" w:hanging="210" w:hangingChars="100"/>
              <w:jc w:val="left"/>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楼堂馆所控制情况</w:t>
            </w:r>
            <w:r>
              <w:rPr>
                <w:rFonts w:hint="eastAsia" w:ascii="仿宋" w:hAnsi="仿宋" w:eastAsia="仿宋" w:cs="仿宋"/>
                <w:b w:val="0"/>
                <w:bCs w:val="0"/>
                <w:kern w:val="0"/>
                <w:sz w:val="21"/>
                <w:szCs w:val="21"/>
                <w:vertAlign w:val="baseline"/>
                <w:lang w:val="en-US" w:eastAsia="zh-CN"/>
              </w:rPr>
              <w:t xml:space="preserve"> </w:t>
            </w:r>
            <w:r>
              <w:rPr>
                <w:rFonts w:hint="eastAsia" w:ascii="仿宋" w:hAnsi="仿宋" w:eastAsia="仿宋" w:cs="仿宋"/>
                <w:b w:val="0"/>
                <w:bCs w:val="0"/>
                <w:kern w:val="0"/>
                <w:sz w:val="21"/>
                <w:szCs w:val="21"/>
                <w:vertAlign w:val="baseline"/>
                <w:lang w:eastAsia="zh-CN"/>
              </w:rPr>
              <w:t>（</w:t>
            </w:r>
            <w:r>
              <w:rPr>
                <w:rFonts w:hint="eastAsia" w:ascii="仿宋" w:hAnsi="仿宋" w:eastAsia="仿宋" w:cs="仿宋"/>
                <w:b w:val="0"/>
                <w:bCs w:val="0"/>
                <w:kern w:val="0"/>
                <w:sz w:val="21"/>
                <w:szCs w:val="21"/>
                <w:vertAlign w:val="baseline"/>
                <w:lang w:val="en-US" w:eastAsia="zh-CN"/>
              </w:rPr>
              <w:t>2024年完工项目</w:t>
            </w:r>
            <w:r>
              <w:rPr>
                <w:rFonts w:hint="eastAsia" w:ascii="仿宋" w:hAnsi="仿宋" w:eastAsia="仿宋" w:cs="仿宋"/>
                <w:b w:val="0"/>
                <w:bCs w:val="0"/>
                <w:kern w:val="0"/>
                <w:sz w:val="21"/>
                <w:szCs w:val="21"/>
                <w:vertAlign w:val="baseline"/>
                <w:lang w:eastAsia="zh-CN"/>
              </w:rPr>
              <w:t>）</w:t>
            </w:r>
          </w:p>
        </w:tc>
        <w:tc>
          <w:tcPr>
            <w:tcW w:w="950" w:type="dxa"/>
            <w:vAlign w:val="center"/>
          </w:tcPr>
          <w:p>
            <w:pPr>
              <w:pStyle w:val="7"/>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批复规模（㎡）</w:t>
            </w:r>
          </w:p>
        </w:tc>
        <w:tc>
          <w:tcPr>
            <w:tcW w:w="983" w:type="dxa"/>
            <w:vAlign w:val="center"/>
          </w:tcPr>
          <w:p>
            <w:pPr>
              <w:pStyle w:val="7"/>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实际规模（㎡）</w:t>
            </w:r>
          </w:p>
        </w:tc>
        <w:tc>
          <w:tcPr>
            <w:tcW w:w="1127" w:type="dxa"/>
            <w:vAlign w:val="center"/>
          </w:tcPr>
          <w:p>
            <w:pPr>
              <w:pStyle w:val="7"/>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规模控制率</w:t>
            </w:r>
          </w:p>
        </w:tc>
        <w:tc>
          <w:tcPr>
            <w:tcW w:w="972" w:type="dxa"/>
            <w:vAlign w:val="center"/>
          </w:tcPr>
          <w:p>
            <w:pPr>
              <w:pStyle w:val="7"/>
              <w:ind w:left="0" w:leftChars="0" w:firstLine="0" w:firstLineChars="0"/>
              <w:jc w:val="center"/>
              <w:rPr>
                <w:rFonts w:hint="eastAsia" w:ascii="仿宋" w:hAnsi="仿宋" w:eastAsia="仿宋" w:cs="仿宋"/>
                <w:b w:val="0"/>
                <w:bCs w:val="0"/>
                <w:kern w:val="0"/>
                <w:sz w:val="21"/>
                <w:szCs w:val="21"/>
                <w:lang w:eastAsia="zh-CN"/>
              </w:rPr>
            </w:pPr>
            <w:r>
              <w:rPr>
                <w:rFonts w:hint="eastAsia" w:ascii="仿宋" w:hAnsi="仿宋" w:eastAsia="仿宋" w:cs="仿宋"/>
                <w:b w:val="0"/>
                <w:bCs w:val="0"/>
                <w:kern w:val="0"/>
                <w:sz w:val="21"/>
                <w:szCs w:val="21"/>
                <w:lang w:eastAsia="zh-CN"/>
              </w:rPr>
              <w:t>预算投资（万元）</w:t>
            </w:r>
          </w:p>
        </w:tc>
        <w:tc>
          <w:tcPr>
            <w:tcW w:w="1017" w:type="dxa"/>
            <w:vAlign w:val="center"/>
          </w:tcPr>
          <w:p>
            <w:pPr>
              <w:pStyle w:val="7"/>
              <w:ind w:left="0" w:leftChars="0" w:firstLine="0" w:firstLineChars="0"/>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实际投资（万元）</w:t>
            </w:r>
          </w:p>
        </w:tc>
        <w:tc>
          <w:tcPr>
            <w:tcW w:w="821" w:type="dxa"/>
            <w:vAlign w:val="center"/>
          </w:tcPr>
          <w:p>
            <w:pPr>
              <w:bidi w:val="0"/>
              <w:jc w:val="center"/>
              <w:rPr>
                <w:rFonts w:hint="eastAsia" w:ascii="仿宋" w:hAnsi="仿宋" w:eastAsia="仿宋" w:cs="仿宋"/>
                <w:b w:val="0"/>
                <w:bCs w:val="0"/>
                <w:sz w:val="21"/>
                <w:szCs w:val="21"/>
                <w:lang w:eastAsia="zh-CN"/>
              </w:rPr>
            </w:pPr>
            <w:r>
              <w:rPr>
                <w:rFonts w:hint="eastAsia" w:ascii="仿宋" w:hAnsi="仿宋" w:eastAsia="仿宋" w:cs="仿宋"/>
                <w:b w:val="0"/>
                <w:bCs w:val="0"/>
                <w:kern w:val="0"/>
                <w:sz w:val="21"/>
                <w:szCs w:val="21"/>
                <w:vertAlign w:val="baseline"/>
                <w:lang w:val="en-US" w:eastAsia="zh-CN" w:bidi="ar-SA"/>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2300" w:type="dxa"/>
            <w:vMerge w:val="continue"/>
            <w:vAlign w:val="center"/>
          </w:tcPr>
          <w:p>
            <w:pPr>
              <w:pStyle w:val="7"/>
              <w:jc w:val="center"/>
              <w:rPr>
                <w:rFonts w:hint="eastAsia" w:ascii="仿宋" w:hAnsi="仿宋" w:eastAsia="仿宋" w:cs="仿宋"/>
                <w:b w:val="0"/>
                <w:bCs w:val="0"/>
                <w:kern w:val="0"/>
                <w:sz w:val="21"/>
                <w:szCs w:val="21"/>
                <w:vertAlign w:val="baseline"/>
                <w:lang w:eastAsia="zh-CN"/>
              </w:rPr>
            </w:pPr>
          </w:p>
        </w:tc>
        <w:tc>
          <w:tcPr>
            <w:tcW w:w="950" w:type="dxa"/>
            <w:vAlign w:val="center"/>
          </w:tcPr>
          <w:p>
            <w:pPr>
              <w:pStyle w:val="7"/>
              <w:jc w:val="center"/>
              <w:rPr>
                <w:rFonts w:hint="eastAsia" w:ascii="仿宋" w:hAnsi="仿宋" w:eastAsia="仿宋" w:cs="仿宋"/>
                <w:b w:val="0"/>
                <w:bCs w:val="0"/>
                <w:kern w:val="0"/>
                <w:sz w:val="21"/>
                <w:szCs w:val="21"/>
                <w:vertAlign w:val="baseline"/>
                <w:lang w:eastAsia="zh-CN"/>
              </w:rPr>
            </w:pPr>
          </w:p>
        </w:tc>
        <w:tc>
          <w:tcPr>
            <w:tcW w:w="983" w:type="dxa"/>
            <w:vAlign w:val="center"/>
          </w:tcPr>
          <w:p>
            <w:pPr>
              <w:pStyle w:val="7"/>
              <w:jc w:val="center"/>
              <w:rPr>
                <w:rFonts w:hint="eastAsia" w:ascii="仿宋" w:hAnsi="仿宋" w:eastAsia="仿宋" w:cs="仿宋"/>
                <w:b w:val="0"/>
                <w:bCs w:val="0"/>
                <w:kern w:val="0"/>
                <w:sz w:val="21"/>
                <w:szCs w:val="21"/>
                <w:vertAlign w:val="baseline"/>
                <w:lang w:eastAsia="zh-CN"/>
              </w:rPr>
            </w:pPr>
          </w:p>
        </w:tc>
        <w:tc>
          <w:tcPr>
            <w:tcW w:w="1127" w:type="dxa"/>
            <w:vAlign w:val="center"/>
          </w:tcPr>
          <w:p>
            <w:pPr>
              <w:pStyle w:val="7"/>
              <w:jc w:val="center"/>
              <w:rPr>
                <w:rFonts w:hint="eastAsia" w:ascii="仿宋" w:hAnsi="仿宋" w:eastAsia="仿宋" w:cs="仿宋"/>
                <w:b w:val="0"/>
                <w:bCs w:val="0"/>
                <w:kern w:val="0"/>
                <w:sz w:val="21"/>
                <w:szCs w:val="21"/>
                <w:vertAlign w:val="baseline"/>
                <w:lang w:eastAsia="zh-CN"/>
              </w:rPr>
            </w:pPr>
          </w:p>
        </w:tc>
        <w:tc>
          <w:tcPr>
            <w:tcW w:w="972" w:type="dxa"/>
            <w:vAlign w:val="center"/>
          </w:tcPr>
          <w:p>
            <w:pPr>
              <w:pStyle w:val="7"/>
              <w:jc w:val="center"/>
              <w:rPr>
                <w:rFonts w:hint="eastAsia" w:ascii="仿宋" w:hAnsi="仿宋" w:eastAsia="仿宋" w:cs="仿宋"/>
                <w:b w:val="0"/>
                <w:bCs w:val="0"/>
                <w:kern w:val="0"/>
                <w:sz w:val="21"/>
                <w:szCs w:val="21"/>
                <w:vertAlign w:val="baseline"/>
                <w:lang w:eastAsia="zh-CN"/>
              </w:rPr>
            </w:pPr>
          </w:p>
        </w:tc>
        <w:tc>
          <w:tcPr>
            <w:tcW w:w="1017" w:type="dxa"/>
            <w:vAlign w:val="center"/>
          </w:tcPr>
          <w:p>
            <w:pPr>
              <w:pStyle w:val="7"/>
              <w:jc w:val="center"/>
              <w:rPr>
                <w:rFonts w:hint="eastAsia" w:ascii="仿宋" w:hAnsi="仿宋" w:eastAsia="仿宋" w:cs="仿宋"/>
                <w:b w:val="0"/>
                <w:bCs w:val="0"/>
                <w:kern w:val="0"/>
                <w:sz w:val="21"/>
                <w:szCs w:val="21"/>
                <w:vertAlign w:val="baseline"/>
                <w:lang w:eastAsia="zh-CN"/>
              </w:rPr>
            </w:pPr>
          </w:p>
        </w:tc>
        <w:tc>
          <w:tcPr>
            <w:tcW w:w="821" w:type="dxa"/>
            <w:vAlign w:val="center"/>
          </w:tcPr>
          <w:p>
            <w:pPr>
              <w:pStyle w:val="7"/>
              <w:jc w:val="center"/>
              <w:rPr>
                <w:rFonts w:hint="eastAsia" w:ascii="仿宋" w:hAnsi="仿宋" w:eastAsia="仿宋" w:cs="仿宋"/>
                <w:b w:val="0"/>
                <w:bCs w:val="0"/>
                <w:kern w:val="0"/>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2300" w:type="dxa"/>
            <w:vAlign w:val="center"/>
          </w:tcPr>
          <w:p>
            <w:pPr>
              <w:pStyle w:val="7"/>
              <w:ind w:left="0" w:leftChars="0" w:firstLine="0" w:firstLineChars="0"/>
              <w:jc w:val="center"/>
              <w:rPr>
                <w:rFonts w:hint="eastAsia" w:ascii="仿宋" w:hAnsi="仿宋" w:eastAsia="仿宋" w:cs="仿宋"/>
                <w:b w:val="0"/>
                <w:bCs w:val="0"/>
                <w:kern w:val="0"/>
                <w:sz w:val="21"/>
                <w:szCs w:val="21"/>
                <w:vertAlign w:val="baseline"/>
                <w:lang w:eastAsia="zh-CN"/>
              </w:rPr>
            </w:pPr>
            <w:r>
              <w:rPr>
                <w:rFonts w:hint="eastAsia" w:ascii="仿宋" w:hAnsi="仿宋" w:eastAsia="仿宋" w:cs="仿宋"/>
                <w:b w:val="0"/>
                <w:bCs w:val="0"/>
                <w:kern w:val="0"/>
                <w:sz w:val="21"/>
                <w:szCs w:val="21"/>
                <w:vertAlign w:val="baseline"/>
                <w:lang w:eastAsia="zh-CN"/>
              </w:rPr>
              <w:t>例行节约保障措施</w:t>
            </w:r>
          </w:p>
        </w:tc>
        <w:tc>
          <w:tcPr>
            <w:tcW w:w="5870" w:type="dxa"/>
            <w:gridSpan w:val="6"/>
            <w:vAlign w:val="center"/>
          </w:tcPr>
          <w:p>
            <w:pPr>
              <w:pStyle w:val="7"/>
              <w:jc w:val="center"/>
              <w:rPr>
                <w:rFonts w:hint="eastAsia" w:ascii="仿宋" w:hAnsi="仿宋" w:eastAsia="仿宋" w:cs="仿宋"/>
                <w:b w:val="0"/>
                <w:bCs w:val="0"/>
                <w:kern w:val="0"/>
                <w:sz w:val="21"/>
                <w:szCs w:val="21"/>
                <w:vertAlign w:val="baseline"/>
                <w:lang w:eastAsia="zh-CN"/>
              </w:rPr>
            </w:pPr>
          </w:p>
        </w:tc>
      </w:tr>
    </w:tbl>
    <w:p>
      <w:pPr>
        <w:pStyle w:val="7"/>
        <w:ind w:left="0" w:leftChars="0" w:firstLine="0" w:firstLineChars="0"/>
        <w:jc w:val="both"/>
        <w:rPr>
          <w:rFonts w:hint="eastAsia" w:ascii="仿宋" w:hAnsi="仿宋" w:eastAsia="仿宋" w:cs="仿宋"/>
          <w:b w:val="0"/>
          <w:bCs w:val="0"/>
          <w:kern w:val="0"/>
          <w:sz w:val="24"/>
          <w:szCs w:val="24"/>
          <w:lang w:eastAsia="zh-CN"/>
        </w:rPr>
      </w:pPr>
    </w:p>
    <w:p>
      <w:pPr>
        <w:pStyle w:val="7"/>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ascii="仿宋" w:hAnsi="仿宋" w:eastAsia="仿宋" w:cs="仿宋"/>
          <w:b w:val="0"/>
          <w:bCs w:val="0"/>
          <w:kern w:val="0"/>
          <w:sz w:val="24"/>
          <w:szCs w:val="24"/>
          <w:lang w:eastAsia="zh-CN"/>
        </w:rPr>
      </w:pPr>
    </w:p>
    <w:p>
      <w:pPr>
        <w:pStyle w:val="7"/>
        <w:keepNext w:val="0"/>
        <w:keepLines w:val="0"/>
        <w:pageBreakBefore w:val="0"/>
        <w:widowControl w:val="0"/>
        <w:kinsoku/>
        <w:wordWrap/>
        <w:overflowPunct/>
        <w:topLinePunct w:val="0"/>
        <w:autoSpaceDE/>
        <w:autoSpaceDN/>
        <w:bidi w:val="0"/>
        <w:adjustRightInd/>
        <w:snapToGrid/>
        <w:ind w:left="0" w:leftChars="0" w:firstLine="480" w:firstLineChars="200"/>
        <w:jc w:val="both"/>
        <w:textAlignment w:val="auto"/>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pPr>
        <w:pStyle w:val="7"/>
        <w:ind w:left="0" w:leftChars="0" w:firstLine="480" w:firstLineChars="200"/>
        <w:jc w:val="both"/>
        <w:rPr>
          <w:rFonts w:hint="eastAsia" w:ascii="仿宋" w:hAnsi="仿宋" w:eastAsia="仿宋" w:cs="仿宋"/>
          <w:b w:val="0"/>
          <w:bCs w:val="0"/>
          <w:kern w:val="0"/>
          <w:sz w:val="24"/>
          <w:szCs w:val="24"/>
          <w:lang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ascii="黑体" w:hAnsi="黑体" w:eastAsia="黑体" w:cs="黑体"/>
          <w:b w:val="0"/>
          <w:bCs w:val="0"/>
          <w:kern w:val="0"/>
          <w:sz w:val="32"/>
          <w:szCs w:val="32"/>
          <w:lang w:val="en-US" w:eastAsia="zh-CN"/>
        </w:rPr>
      </w:pPr>
      <w:r>
        <w:rPr>
          <w:rFonts w:hint="eastAsia" w:ascii="仿宋" w:hAnsi="仿宋" w:eastAsia="仿宋" w:cs="仿宋"/>
          <w:b w:val="0"/>
          <w:bCs w:val="0"/>
          <w:kern w:val="0"/>
          <w:sz w:val="24"/>
          <w:szCs w:val="24"/>
          <w:lang w:eastAsia="zh-CN"/>
        </w:rPr>
        <w:t>、</w:t>
      </w:r>
      <w:bookmarkStart w:id="5" w:name="_GoBack"/>
      <w:bookmarkEnd w:id="5"/>
      <w:r>
        <w:rPr>
          <w:rFonts w:hint="eastAsia" w:ascii="黑体" w:hAnsi="黑体" w:eastAsia="黑体" w:cs="黑体"/>
          <w:b w:val="0"/>
          <w:bCs w:val="0"/>
          <w:kern w:val="0"/>
          <w:sz w:val="32"/>
          <w:szCs w:val="32"/>
        </w:rPr>
        <w:t>附件</w:t>
      </w:r>
      <w:r>
        <w:rPr>
          <w:rFonts w:hint="eastAsia" w:ascii="黑体" w:hAnsi="黑体" w:eastAsia="黑体" w:cs="黑体"/>
          <w:b w:val="0"/>
          <w:bCs w:val="0"/>
          <w:kern w:val="0"/>
          <w:sz w:val="32"/>
          <w:szCs w:val="32"/>
          <w:lang w:val="en-US" w:eastAsia="zh-CN"/>
        </w:rPr>
        <w:t>4</w:t>
      </w:r>
    </w:p>
    <w:p>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8"/>
        <w:tblW w:w="9071" w:type="dxa"/>
        <w:jc w:val="center"/>
        <w:tblLayout w:type="fixed"/>
        <w:tblCellMar>
          <w:top w:w="0" w:type="dxa"/>
          <w:left w:w="108" w:type="dxa"/>
          <w:bottom w:w="0" w:type="dxa"/>
          <w:right w:w="108" w:type="dxa"/>
        </w:tblCellMar>
      </w:tblPr>
      <w:tblGrid>
        <w:gridCol w:w="978"/>
        <w:gridCol w:w="979"/>
        <w:gridCol w:w="719"/>
        <w:gridCol w:w="1286"/>
        <w:gridCol w:w="85"/>
        <w:gridCol w:w="1088"/>
        <w:gridCol w:w="1253"/>
        <w:gridCol w:w="548"/>
        <w:gridCol w:w="1147"/>
        <w:gridCol w:w="988"/>
      </w:tblGrid>
      <w:tr>
        <w:tblPrEx>
          <w:tblCellMar>
            <w:top w:w="0" w:type="dxa"/>
            <w:left w:w="108" w:type="dxa"/>
            <w:bottom w:w="0" w:type="dxa"/>
            <w:right w:w="108" w:type="dxa"/>
          </w:tblCellMar>
        </w:tblPrEx>
        <w:trPr>
          <w:trHeight w:val="498" w:hRule="atLeast"/>
          <w:jc w:val="center"/>
        </w:trPr>
        <w:tc>
          <w:tcPr>
            <w:tcW w:w="97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93" w:type="dxa"/>
            <w:gridSpan w:val="9"/>
            <w:tcBorders>
              <w:top w:val="single" w:color="auto" w:sz="4" w:space="0"/>
              <w:left w:val="nil"/>
              <w:bottom w:val="single" w:color="auto" w:sz="4" w:space="0"/>
              <w:right w:val="single" w:color="auto" w:sz="4" w:space="0"/>
            </w:tcBorders>
            <w:noWrap w:val="0"/>
            <w:vAlign w:val="center"/>
          </w:tcPr>
          <w:p>
            <w:pPr>
              <w:spacing w:line="240" w:lineRule="exact"/>
              <w:ind w:firstLine="360"/>
              <w:jc w:val="center"/>
              <w:rPr>
                <w:rFonts w:eastAsia="仿宋_GB2312"/>
                <w:color w:val="000000"/>
                <w:kern w:val="0"/>
                <w:sz w:val="18"/>
                <w:szCs w:val="18"/>
              </w:rPr>
            </w:pPr>
            <w:r>
              <w:rPr>
                <w:rFonts w:hint="eastAsia" w:ascii="仿宋" w:hAnsi="仿宋" w:eastAsia="仿宋" w:cs="仿宋"/>
                <w:b w:val="0"/>
                <w:bCs w:val="0"/>
                <w:kern w:val="0"/>
                <w:sz w:val="21"/>
                <w:szCs w:val="21"/>
                <w:vertAlign w:val="baseline"/>
                <w:lang w:val="en-US" w:eastAsia="zh-CN"/>
              </w:rPr>
              <w:t>中共隆回县委宣传部</w:t>
            </w:r>
            <w:r>
              <w:rPr>
                <w:rFonts w:eastAsia="仿宋_GB2312"/>
                <w:color w:val="000000"/>
                <w:kern w:val="0"/>
                <w:sz w:val="18"/>
                <w:szCs w:val="18"/>
              </w:rPr>
              <w:t>　</w:t>
            </w:r>
          </w:p>
        </w:tc>
      </w:tr>
      <w:tr>
        <w:tblPrEx>
          <w:tblCellMar>
            <w:top w:w="0" w:type="dxa"/>
            <w:left w:w="108" w:type="dxa"/>
            <w:bottom w:w="0" w:type="dxa"/>
            <w:right w:w="108" w:type="dxa"/>
          </w:tblCellMar>
        </w:tblPrEx>
        <w:trPr>
          <w:trHeight w:val="249" w:hRule="atLeast"/>
          <w:jc w:val="center"/>
        </w:trPr>
        <w:tc>
          <w:tcPr>
            <w:tcW w:w="978" w:type="dxa"/>
            <w:vMerge w:val="restart"/>
            <w:tcBorders>
              <w:top w:val="nil"/>
              <w:left w:val="single" w:color="auto" w:sz="4" w:space="0"/>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年度预</w:t>
            </w:r>
          </w:p>
          <w:p>
            <w:pPr>
              <w:spacing w:line="240" w:lineRule="exact"/>
              <w:ind w:firstLine="0" w:firstLineChars="0"/>
              <w:rPr>
                <w:rFonts w:eastAsia="仿宋_GB2312"/>
                <w:color w:val="000000"/>
                <w:kern w:val="0"/>
                <w:sz w:val="18"/>
                <w:szCs w:val="18"/>
              </w:rPr>
            </w:pPr>
            <w:r>
              <w:rPr>
                <w:rFonts w:eastAsia="仿宋_GB2312"/>
                <w:color w:val="000000"/>
                <w:kern w:val="0"/>
                <w:sz w:val="18"/>
                <w:szCs w:val="18"/>
              </w:rPr>
              <w:t>算申请</w:t>
            </w:r>
            <w:r>
              <w:rPr>
                <w:rFonts w:eastAsia="仿宋_GB2312"/>
                <w:color w:val="000000"/>
                <w:kern w:val="0"/>
                <w:sz w:val="18"/>
                <w:szCs w:val="18"/>
              </w:rPr>
              <w:br w:type="textWrapping"/>
            </w:r>
            <w:r>
              <w:rPr>
                <w:rFonts w:eastAsia="仿宋_GB2312"/>
                <w:color w:val="000000"/>
                <w:kern w:val="0"/>
                <w:sz w:val="18"/>
                <w:szCs w:val="18"/>
              </w:rPr>
              <w:t>（万元）</w:t>
            </w:r>
          </w:p>
        </w:tc>
        <w:tc>
          <w:tcPr>
            <w:tcW w:w="1698" w:type="dxa"/>
            <w:gridSpan w:val="2"/>
            <w:tcBorders>
              <w:top w:val="nil"/>
              <w:left w:val="nil"/>
              <w:bottom w:val="single" w:color="auto" w:sz="4" w:space="0"/>
              <w:right w:val="single" w:color="auto" w:sz="4" w:space="0"/>
            </w:tcBorders>
            <w:noWrap w:val="0"/>
            <w:vAlign w:val="center"/>
          </w:tcPr>
          <w:p>
            <w:pPr>
              <w:spacing w:line="240" w:lineRule="exact"/>
              <w:ind w:firstLine="360"/>
              <w:jc w:val="center"/>
              <w:rPr>
                <w:rFonts w:eastAsia="仿宋_GB2312"/>
                <w:sz w:val="18"/>
                <w:szCs w:val="18"/>
              </w:rPr>
            </w:pPr>
          </w:p>
        </w:tc>
        <w:tc>
          <w:tcPr>
            <w:tcW w:w="1286"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sz w:val="18"/>
                <w:szCs w:val="18"/>
              </w:rPr>
            </w:pPr>
            <w:r>
              <w:rPr>
                <w:rFonts w:eastAsia="仿宋_GB2312"/>
                <w:sz w:val="18"/>
                <w:szCs w:val="18"/>
              </w:rPr>
              <w:t>年初预算数</w:t>
            </w:r>
          </w:p>
        </w:tc>
        <w:tc>
          <w:tcPr>
            <w:tcW w:w="1173" w:type="dxa"/>
            <w:gridSpan w:val="2"/>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sz w:val="18"/>
                <w:szCs w:val="18"/>
              </w:rPr>
            </w:pPr>
            <w:r>
              <w:rPr>
                <w:rFonts w:eastAsia="仿宋_GB2312"/>
                <w:sz w:val="18"/>
                <w:szCs w:val="18"/>
              </w:rPr>
              <w:t>全年预算数</w:t>
            </w:r>
          </w:p>
        </w:tc>
        <w:tc>
          <w:tcPr>
            <w:tcW w:w="1253"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sz w:val="18"/>
                <w:szCs w:val="18"/>
              </w:rPr>
            </w:pPr>
            <w:r>
              <w:rPr>
                <w:rFonts w:eastAsia="仿宋_GB2312"/>
                <w:sz w:val="18"/>
                <w:szCs w:val="18"/>
              </w:rPr>
              <w:t>全年执行数</w:t>
            </w:r>
          </w:p>
        </w:tc>
        <w:tc>
          <w:tcPr>
            <w:tcW w:w="548"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sz w:val="18"/>
                <w:szCs w:val="18"/>
              </w:rPr>
            </w:pPr>
            <w:r>
              <w:rPr>
                <w:rFonts w:eastAsia="仿宋_GB2312"/>
                <w:sz w:val="18"/>
                <w:szCs w:val="18"/>
              </w:rPr>
              <w:t>分值</w:t>
            </w:r>
          </w:p>
        </w:tc>
        <w:tc>
          <w:tcPr>
            <w:tcW w:w="1147"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sz w:val="18"/>
                <w:szCs w:val="18"/>
              </w:rPr>
            </w:pPr>
            <w:r>
              <w:rPr>
                <w:rFonts w:eastAsia="仿宋_GB2312"/>
                <w:sz w:val="18"/>
                <w:szCs w:val="18"/>
              </w:rPr>
              <w:t>执行率</w:t>
            </w:r>
          </w:p>
        </w:tc>
        <w:tc>
          <w:tcPr>
            <w:tcW w:w="988"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sz w:val="18"/>
                <w:szCs w:val="18"/>
              </w:rPr>
            </w:pPr>
            <w:r>
              <w:rPr>
                <w:rFonts w:eastAsia="仿宋_GB2312"/>
                <w:sz w:val="18"/>
                <w:szCs w:val="18"/>
              </w:rPr>
              <w:t>得分</w:t>
            </w:r>
          </w:p>
        </w:tc>
      </w:tr>
      <w:tr>
        <w:tblPrEx>
          <w:tblCellMar>
            <w:top w:w="0" w:type="dxa"/>
            <w:left w:w="108" w:type="dxa"/>
            <w:bottom w:w="0" w:type="dxa"/>
            <w:right w:w="108" w:type="dxa"/>
          </w:tblCellMar>
        </w:tblPrEx>
        <w:trPr>
          <w:trHeight w:val="231" w:hRule="atLeast"/>
          <w:jc w:val="center"/>
        </w:trPr>
        <w:tc>
          <w:tcPr>
            <w:tcW w:w="978" w:type="dxa"/>
            <w:vMerge w:val="continue"/>
            <w:tcBorders>
              <w:top w:val="nil"/>
              <w:left w:val="single" w:color="auto" w:sz="4" w:space="0"/>
              <w:right w:val="single" w:color="auto" w:sz="4" w:space="0"/>
            </w:tcBorders>
            <w:noWrap w:val="0"/>
            <w:vAlign w:val="center"/>
          </w:tcPr>
          <w:p>
            <w:pPr>
              <w:spacing w:line="240" w:lineRule="exact"/>
              <w:ind w:firstLine="360"/>
              <w:jc w:val="center"/>
              <w:rPr>
                <w:rFonts w:eastAsia="仿宋_GB2312"/>
                <w:color w:val="000000"/>
                <w:kern w:val="0"/>
                <w:sz w:val="18"/>
                <w:szCs w:val="18"/>
              </w:rPr>
            </w:pPr>
          </w:p>
        </w:tc>
        <w:tc>
          <w:tcPr>
            <w:tcW w:w="1698" w:type="dxa"/>
            <w:gridSpan w:val="2"/>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sz w:val="18"/>
                <w:szCs w:val="18"/>
              </w:rPr>
            </w:pPr>
            <w:r>
              <w:rPr>
                <w:rFonts w:eastAsia="仿宋_GB2312"/>
                <w:color w:val="000000"/>
                <w:kern w:val="0"/>
                <w:sz w:val="18"/>
                <w:szCs w:val="18"/>
              </w:rPr>
              <w:t>年度资金总额</w:t>
            </w:r>
          </w:p>
        </w:tc>
        <w:tc>
          <w:tcPr>
            <w:tcW w:w="1286" w:type="dxa"/>
            <w:tcBorders>
              <w:top w:val="nil"/>
              <w:left w:val="nil"/>
              <w:bottom w:val="single" w:color="auto" w:sz="4" w:space="0"/>
              <w:right w:val="single" w:color="auto" w:sz="4" w:space="0"/>
            </w:tcBorders>
            <w:noWrap w:val="0"/>
            <w:vAlign w:val="center"/>
          </w:tcPr>
          <w:p>
            <w:pPr>
              <w:spacing w:line="240" w:lineRule="exact"/>
              <w:jc w:val="both"/>
              <w:rPr>
                <w:rFonts w:hint="default" w:eastAsia="仿宋_GB2312"/>
                <w:sz w:val="18"/>
                <w:szCs w:val="18"/>
                <w:lang w:val="en-US" w:eastAsia="zh-CN"/>
              </w:rPr>
            </w:pPr>
            <w:r>
              <w:rPr>
                <w:rFonts w:hint="eastAsia" w:eastAsia="仿宋_GB2312"/>
                <w:sz w:val="18"/>
                <w:szCs w:val="18"/>
                <w:lang w:val="en-US" w:eastAsia="zh-CN"/>
              </w:rPr>
              <w:t>506.29</w:t>
            </w:r>
          </w:p>
        </w:tc>
        <w:tc>
          <w:tcPr>
            <w:tcW w:w="1173" w:type="dxa"/>
            <w:gridSpan w:val="2"/>
            <w:tcBorders>
              <w:top w:val="nil"/>
              <w:left w:val="nil"/>
              <w:bottom w:val="single" w:color="auto" w:sz="4" w:space="0"/>
              <w:right w:val="single" w:color="auto" w:sz="4" w:space="0"/>
            </w:tcBorders>
            <w:noWrap w:val="0"/>
            <w:vAlign w:val="center"/>
          </w:tcPr>
          <w:p>
            <w:pPr>
              <w:spacing w:line="240" w:lineRule="exact"/>
              <w:jc w:val="both"/>
              <w:rPr>
                <w:rFonts w:hint="default" w:eastAsia="仿宋_GB2312"/>
                <w:sz w:val="18"/>
                <w:szCs w:val="18"/>
                <w:lang w:val="en-US" w:eastAsia="zh-CN"/>
              </w:rPr>
            </w:pPr>
            <w:r>
              <w:rPr>
                <w:rFonts w:hint="eastAsia" w:eastAsia="仿宋_GB2312"/>
                <w:sz w:val="18"/>
                <w:szCs w:val="18"/>
                <w:lang w:val="en-US" w:eastAsia="zh-CN"/>
              </w:rPr>
              <w:t>2073.17</w:t>
            </w:r>
          </w:p>
        </w:tc>
        <w:tc>
          <w:tcPr>
            <w:tcW w:w="1253" w:type="dxa"/>
            <w:tcBorders>
              <w:top w:val="nil"/>
              <w:left w:val="nil"/>
              <w:bottom w:val="single" w:color="auto" w:sz="4" w:space="0"/>
              <w:right w:val="single" w:color="auto" w:sz="4" w:space="0"/>
            </w:tcBorders>
            <w:noWrap w:val="0"/>
            <w:vAlign w:val="center"/>
          </w:tcPr>
          <w:p>
            <w:pPr>
              <w:spacing w:line="240" w:lineRule="exact"/>
              <w:jc w:val="both"/>
              <w:rPr>
                <w:rFonts w:hint="default" w:eastAsia="仿宋_GB2312"/>
                <w:sz w:val="18"/>
                <w:szCs w:val="18"/>
                <w:lang w:val="en-US" w:eastAsia="zh-CN"/>
              </w:rPr>
            </w:pPr>
            <w:r>
              <w:rPr>
                <w:rFonts w:hint="eastAsia" w:eastAsia="仿宋_GB2312"/>
                <w:sz w:val="18"/>
                <w:szCs w:val="18"/>
                <w:lang w:val="en-US" w:eastAsia="zh-CN"/>
              </w:rPr>
              <w:t>1525.46</w:t>
            </w:r>
          </w:p>
        </w:tc>
        <w:tc>
          <w:tcPr>
            <w:tcW w:w="548" w:type="dxa"/>
            <w:tcBorders>
              <w:top w:val="nil"/>
              <w:left w:val="nil"/>
              <w:bottom w:val="single" w:color="auto" w:sz="4" w:space="0"/>
              <w:right w:val="single" w:color="auto" w:sz="4" w:space="0"/>
            </w:tcBorders>
            <w:noWrap w:val="0"/>
            <w:vAlign w:val="center"/>
          </w:tcPr>
          <w:p>
            <w:pPr>
              <w:spacing w:line="240" w:lineRule="exact"/>
              <w:ind w:firstLine="0" w:firstLineChars="0"/>
              <w:jc w:val="center"/>
              <w:rPr>
                <w:rFonts w:eastAsia="仿宋_GB2312"/>
                <w:sz w:val="18"/>
                <w:szCs w:val="18"/>
              </w:rPr>
            </w:pPr>
            <w:r>
              <w:rPr>
                <w:rFonts w:eastAsia="仿宋_GB2312"/>
                <w:sz w:val="18"/>
                <w:szCs w:val="18"/>
              </w:rPr>
              <w:t>10</w:t>
            </w:r>
          </w:p>
        </w:tc>
        <w:tc>
          <w:tcPr>
            <w:tcW w:w="1147" w:type="dxa"/>
            <w:tcBorders>
              <w:top w:val="nil"/>
              <w:left w:val="nil"/>
              <w:bottom w:val="single" w:color="auto" w:sz="4" w:space="0"/>
              <w:right w:val="single" w:color="auto" w:sz="4" w:space="0"/>
            </w:tcBorders>
            <w:noWrap w:val="0"/>
            <w:vAlign w:val="center"/>
          </w:tcPr>
          <w:p>
            <w:pPr>
              <w:spacing w:line="240" w:lineRule="exact"/>
              <w:jc w:val="both"/>
              <w:rPr>
                <w:rFonts w:hint="default" w:eastAsia="仿宋_GB2312"/>
                <w:sz w:val="18"/>
                <w:szCs w:val="18"/>
                <w:lang w:val="en-US" w:eastAsia="zh-CN"/>
              </w:rPr>
            </w:pPr>
            <w:r>
              <w:rPr>
                <w:rFonts w:hint="eastAsia" w:eastAsia="仿宋_GB2312"/>
                <w:sz w:val="18"/>
                <w:szCs w:val="18"/>
                <w:lang w:val="en-US" w:eastAsia="zh-CN"/>
              </w:rPr>
              <w:t>75.38%</w:t>
            </w:r>
          </w:p>
        </w:tc>
        <w:tc>
          <w:tcPr>
            <w:tcW w:w="988" w:type="dxa"/>
            <w:tcBorders>
              <w:top w:val="nil"/>
              <w:left w:val="nil"/>
              <w:bottom w:val="single" w:color="auto" w:sz="4" w:space="0"/>
              <w:right w:val="single" w:color="auto" w:sz="4" w:space="0"/>
            </w:tcBorders>
            <w:noWrap w:val="0"/>
            <w:vAlign w:val="center"/>
          </w:tcPr>
          <w:p>
            <w:pPr>
              <w:spacing w:line="240" w:lineRule="exact"/>
              <w:jc w:val="both"/>
              <w:rPr>
                <w:rFonts w:hint="default" w:eastAsia="仿宋_GB2312"/>
                <w:sz w:val="18"/>
                <w:szCs w:val="18"/>
                <w:lang w:val="en-US" w:eastAsia="zh-CN"/>
              </w:rPr>
            </w:pPr>
            <w:r>
              <w:rPr>
                <w:rFonts w:hint="eastAsia" w:eastAsia="仿宋_GB2312"/>
                <w:sz w:val="18"/>
                <w:szCs w:val="18"/>
                <w:lang w:val="en-US" w:eastAsia="zh-CN"/>
              </w:rPr>
              <w:t>7.36</w:t>
            </w: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936" w:type="dxa"/>
            <w:gridSpan w:val="4"/>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0"/>
            <w:vAlign w:val="center"/>
          </w:tcPr>
          <w:p>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506.29</w:t>
            </w:r>
          </w:p>
        </w:tc>
        <w:tc>
          <w:tcPr>
            <w:tcW w:w="3936" w:type="dxa"/>
            <w:gridSpan w:val="4"/>
            <w:tcBorders>
              <w:top w:val="nil"/>
              <w:left w:val="nil"/>
              <w:bottom w:val="single" w:color="auto" w:sz="4" w:space="0"/>
              <w:right w:val="single" w:color="auto" w:sz="4" w:space="0"/>
            </w:tcBorders>
            <w:noWrap w:val="0"/>
            <w:vAlign w:val="center"/>
          </w:tcPr>
          <w:p>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304.29</w:t>
            </w: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0"/>
            <w:vAlign w:val="center"/>
          </w:tcPr>
          <w:p>
            <w:pPr>
              <w:spacing w:line="240" w:lineRule="exact"/>
              <w:ind w:firstLine="720" w:firstLineChars="400"/>
              <w:jc w:val="left"/>
              <w:rPr>
                <w:rFonts w:eastAsia="仿宋_GB2312"/>
                <w:color w:val="000000"/>
                <w:kern w:val="0"/>
                <w:sz w:val="18"/>
                <w:szCs w:val="18"/>
              </w:rPr>
            </w:pPr>
            <w:r>
              <w:rPr>
                <w:rFonts w:eastAsia="仿宋_GB2312"/>
                <w:color w:val="000000"/>
                <w:kern w:val="0"/>
                <w:sz w:val="18"/>
                <w:szCs w:val="18"/>
              </w:rPr>
              <w:t>政府性基金拨款：</w:t>
            </w:r>
          </w:p>
        </w:tc>
        <w:tc>
          <w:tcPr>
            <w:tcW w:w="3936" w:type="dxa"/>
            <w:gridSpan w:val="4"/>
            <w:tcBorders>
              <w:top w:val="nil"/>
              <w:left w:val="nil"/>
              <w:bottom w:val="single" w:color="auto" w:sz="4" w:space="0"/>
              <w:right w:val="single" w:color="auto" w:sz="4" w:space="0"/>
            </w:tcBorders>
            <w:noWrap w:val="0"/>
            <w:vAlign w:val="center"/>
          </w:tcPr>
          <w:p>
            <w:pPr>
              <w:spacing w:line="240" w:lineRule="exact"/>
              <w:ind w:firstLine="540" w:firstLineChars="300"/>
              <w:jc w:val="left"/>
              <w:rPr>
                <w:rFonts w:hint="default" w:eastAsia="仿宋_GB2312"/>
                <w:color w:val="000000"/>
                <w:kern w:val="0"/>
                <w:sz w:val="18"/>
                <w:szCs w:val="18"/>
                <w:lang w:val="en-US" w:eastAsia="zh-CN"/>
              </w:rPr>
            </w:pPr>
            <w:r>
              <w:rPr>
                <w:rFonts w:hint="eastAsia" w:eastAsia="仿宋_GB2312"/>
                <w:color w:val="000000"/>
                <w:kern w:val="0"/>
                <w:sz w:val="18"/>
                <w:szCs w:val="18"/>
                <w:lang w:eastAsia="zh-CN"/>
              </w:rPr>
              <w:t>专项资金</w:t>
            </w:r>
            <w:r>
              <w:rPr>
                <w:rFonts w:eastAsia="仿宋_GB2312"/>
                <w:color w:val="000000"/>
                <w:kern w:val="0"/>
                <w:sz w:val="18"/>
                <w:szCs w:val="18"/>
              </w:rPr>
              <w:t>：</w:t>
            </w:r>
            <w:r>
              <w:rPr>
                <w:rFonts w:hint="eastAsia" w:eastAsia="仿宋_GB2312"/>
                <w:color w:val="000000"/>
                <w:kern w:val="0"/>
                <w:sz w:val="18"/>
                <w:szCs w:val="18"/>
                <w:lang w:val="en-US" w:eastAsia="zh-CN"/>
              </w:rPr>
              <w:t>202.00</w:t>
            </w: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纳入专户管理的非税收入拨款：</w:t>
            </w:r>
          </w:p>
        </w:tc>
        <w:tc>
          <w:tcPr>
            <w:tcW w:w="3936" w:type="dxa"/>
            <w:gridSpan w:val="4"/>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bottom w:val="single" w:color="000000"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4157" w:type="dxa"/>
            <w:gridSpan w:val="5"/>
            <w:tcBorders>
              <w:top w:val="nil"/>
              <w:left w:val="nil"/>
              <w:bottom w:val="single" w:color="auto" w:sz="4" w:space="0"/>
              <w:right w:val="single" w:color="auto" w:sz="4" w:space="0"/>
            </w:tcBorders>
            <w:noWrap w:val="0"/>
            <w:vAlign w:val="center"/>
          </w:tcPr>
          <w:p>
            <w:pPr>
              <w:spacing w:line="240" w:lineRule="exact"/>
              <w:ind w:firstLine="1260" w:firstLineChars="700"/>
              <w:jc w:val="left"/>
              <w:rPr>
                <w:rFonts w:eastAsia="仿宋_GB2312"/>
                <w:color w:val="000000"/>
                <w:kern w:val="0"/>
                <w:sz w:val="18"/>
                <w:szCs w:val="18"/>
              </w:rPr>
            </w:pPr>
            <w:r>
              <w:rPr>
                <w:rFonts w:eastAsia="仿宋_GB2312"/>
                <w:color w:val="000000"/>
                <w:kern w:val="0"/>
                <w:sz w:val="18"/>
                <w:szCs w:val="18"/>
              </w:rPr>
              <w:t>其他资金：</w:t>
            </w:r>
          </w:p>
        </w:tc>
        <w:tc>
          <w:tcPr>
            <w:tcW w:w="3936" w:type="dxa"/>
            <w:gridSpan w:val="4"/>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r>
      <w:tr>
        <w:tblPrEx>
          <w:tblCellMar>
            <w:top w:w="0" w:type="dxa"/>
            <w:left w:w="108" w:type="dxa"/>
            <w:bottom w:w="0" w:type="dxa"/>
            <w:right w:w="108" w:type="dxa"/>
          </w:tblCellMar>
        </w:tblPrEx>
        <w:trPr>
          <w:trHeight w:val="254" w:hRule="atLeast"/>
          <w:jc w:val="center"/>
        </w:trPr>
        <w:tc>
          <w:tcPr>
            <w:tcW w:w="978" w:type="dxa"/>
            <w:vMerge w:val="restart"/>
            <w:tcBorders>
              <w:top w:val="nil"/>
              <w:left w:val="single" w:color="auto" w:sz="4" w:space="0"/>
              <w:bottom w:val="single" w:color="000000" w:sz="4" w:space="0"/>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157" w:type="dxa"/>
            <w:gridSpan w:val="5"/>
            <w:tcBorders>
              <w:top w:val="single" w:color="auto" w:sz="4" w:space="0"/>
              <w:left w:val="nil"/>
              <w:bottom w:val="single" w:color="auto" w:sz="4" w:space="0"/>
              <w:right w:val="single" w:color="000000" w:sz="4" w:space="0"/>
            </w:tcBorders>
            <w:noWrap w:val="0"/>
            <w:vAlign w:val="center"/>
          </w:tcPr>
          <w:p>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936" w:type="dxa"/>
            <w:gridSpan w:val="4"/>
            <w:tcBorders>
              <w:top w:val="single" w:color="auto" w:sz="4" w:space="0"/>
              <w:left w:val="nil"/>
              <w:bottom w:val="single" w:color="auto" w:sz="4" w:space="0"/>
              <w:right w:val="single" w:color="auto" w:sz="4" w:space="0"/>
            </w:tcBorders>
            <w:noWrap w:val="0"/>
            <w:vAlign w:val="center"/>
          </w:tcPr>
          <w:p>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tblPrEx>
          <w:tblCellMar>
            <w:top w:w="0" w:type="dxa"/>
            <w:left w:w="108" w:type="dxa"/>
            <w:bottom w:w="0" w:type="dxa"/>
            <w:right w:w="108" w:type="dxa"/>
          </w:tblCellMar>
        </w:tblPrEx>
        <w:trPr>
          <w:trHeight w:val="254" w:hRule="atLeast"/>
          <w:jc w:val="center"/>
        </w:trPr>
        <w:tc>
          <w:tcPr>
            <w:tcW w:w="978" w:type="dxa"/>
            <w:vMerge w:val="continue"/>
            <w:tcBorders>
              <w:top w:val="nil"/>
              <w:left w:val="single" w:color="auto" w:sz="4" w:space="0"/>
              <w:bottom w:val="single" w:color="000000"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4157" w:type="dxa"/>
            <w:gridSpan w:val="5"/>
            <w:tcBorders>
              <w:top w:val="single" w:color="auto" w:sz="4" w:space="0"/>
              <w:left w:val="nil"/>
              <w:bottom w:val="single" w:color="auto" w:sz="4" w:space="0"/>
              <w:right w:val="single" w:color="000000"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240" w:lineRule="atLeast"/>
              <w:textAlignment w:val="auto"/>
              <w:rPr>
                <w:rFonts w:hint="eastAsia" w:ascii="Times New Roman" w:hAnsi="Times New Roman" w:eastAsia="仿宋_GB2312" w:cs="Times New Roman"/>
                <w:color w:val="000000"/>
                <w:kern w:val="0"/>
                <w:sz w:val="18"/>
                <w:szCs w:val="18"/>
                <w:lang w:val="en-US" w:eastAsia="zh-CN" w:bidi="ar-SA"/>
              </w:rPr>
            </w:pPr>
            <w:r>
              <w:rPr>
                <w:rFonts w:hint="eastAsia" w:ascii="Times New Roman" w:hAnsi="Times New Roman" w:eastAsia="仿宋_GB2312" w:cs="Times New Roman"/>
                <w:color w:val="000000"/>
                <w:kern w:val="0"/>
                <w:sz w:val="18"/>
                <w:szCs w:val="18"/>
                <w:lang w:val="en-US" w:eastAsia="zh-CN" w:bidi="ar-SA"/>
              </w:rPr>
              <w:t>1.开展理论教育。学习宣传贯彻党的二十大精神、二十届二中、二十届三中全会精神和习近平新时代中国特色社会主义思想，指导全县党委（党组）理论中心组学习。2.开展意识形态工作。开展意识形态专项检查，组织意识形态专题培训，提升“扫黄打非”斗争水平。3.营造舆论环境。开展媒体宣传，宣传报道数量在全市处于领先水平。4.做好文艺宣传，推出一批优秀文艺作品和群众性文化艺术活动。5.深化精神文明建设，推进全国文明城市创建。</w:t>
            </w:r>
          </w:p>
          <w:p>
            <w:pPr>
              <w:spacing w:line="240" w:lineRule="exact"/>
              <w:ind w:firstLine="360"/>
              <w:jc w:val="center"/>
              <w:rPr>
                <w:rFonts w:eastAsia="仿宋_GB2312"/>
                <w:color w:val="000000"/>
                <w:kern w:val="0"/>
                <w:sz w:val="18"/>
                <w:szCs w:val="18"/>
              </w:rPr>
            </w:pPr>
            <w:r>
              <w:rPr>
                <w:rFonts w:eastAsia="仿宋_GB2312"/>
                <w:color w:val="000000"/>
                <w:kern w:val="0"/>
                <w:sz w:val="18"/>
                <w:szCs w:val="18"/>
              </w:rPr>
              <w:t>　　</w:t>
            </w:r>
          </w:p>
        </w:tc>
        <w:tc>
          <w:tcPr>
            <w:tcW w:w="3936" w:type="dxa"/>
            <w:gridSpan w:val="4"/>
            <w:tcBorders>
              <w:top w:val="single" w:color="auto" w:sz="4" w:space="0"/>
              <w:left w:val="nil"/>
              <w:bottom w:val="single" w:color="auto" w:sz="4" w:space="0"/>
              <w:right w:val="single" w:color="auto" w:sz="4" w:space="0"/>
            </w:tcBorders>
            <w:noWrap w:val="0"/>
            <w:vAlign w:val="center"/>
          </w:tcPr>
          <w:p>
            <w:pPr>
              <w:rPr>
                <w:rFonts w:eastAsia="仿宋_GB2312"/>
                <w:color w:val="000000"/>
                <w:kern w:val="0"/>
                <w:sz w:val="18"/>
                <w:szCs w:val="18"/>
              </w:rPr>
            </w:pPr>
            <w:r>
              <w:rPr>
                <w:rFonts w:eastAsia="仿宋_GB2312"/>
                <w:color w:val="000000"/>
                <w:kern w:val="0"/>
                <w:sz w:val="18"/>
                <w:szCs w:val="18"/>
              </w:rPr>
              <w:t>　</w:t>
            </w:r>
            <w:r>
              <w:rPr>
                <w:rFonts w:hint="eastAsia" w:eastAsia="仿宋_GB2312"/>
                <w:color w:val="000000"/>
                <w:kern w:val="0"/>
                <w:sz w:val="18"/>
                <w:szCs w:val="18"/>
              </w:rPr>
              <w:t>1.坚持不懈用党的创新理论凝心聚魂，推动理论学习走深走实。2.持续加强正面宣传，让隆回故事讲述更加精彩。3.坚持以文化人，以文育人，统筹推进文明培育、文明实践、文明创建等工作。4.持续丰富文化内涵，创新文化发展，让隆回文化软实力不断进阶。</w:t>
            </w:r>
          </w:p>
        </w:tc>
      </w:tr>
      <w:tr>
        <w:tblPrEx>
          <w:tblCellMar>
            <w:top w:w="0" w:type="dxa"/>
            <w:left w:w="108" w:type="dxa"/>
            <w:bottom w:w="0" w:type="dxa"/>
            <w:right w:w="108" w:type="dxa"/>
          </w:tblCellMar>
        </w:tblPrEx>
        <w:trPr>
          <w:trHeight w:val="498" w:hRule="atLeast"/>
          <w:jc w:val="center"/>
        </w:trPr>
        <w:tc>
          <w:tcPr>
            <w:tcW w:w="978" w:type="dxa"/>
            <w:vMerge w:val="restart"/>
            <w:tcBorders>
              <w:top w:val="nil"/>
              <w:left w:val="single" w:color="auto" w:sz="4" w:space="0"/>
              <w:right w:val="single" w:color="auto" w:sz="4" w:space="0"/>
            </w:tcBorders>
            <w:noWrap w:val="0"/>
            <w:vAlign w:val="center"/>
          </w:tcPr>
          <w:p>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79"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19" w:type="dxa"/>
            <w:tcBorders>
              <w:top w:val="nil"/>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371" w:type="dxa"/>
            <w:gridSpan w:val="2"/>
            <w:tcBorders>
              <w:top w:val="nil"/>
              <w:left w:val="nil"/>
              <w:bottom w:val="single" w:color="auto" w:sz="4" w:space="0"/>
              <w:right w:val="single" w:color="auto" w:sz="4" w:space="0"/>
            </w:tcBorders>
            <w:noWrap w:val="0"/>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088"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253"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548"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1147" w:type="dxa"/>
            <w:tcBorders>
              <w:top w:val="nil"/>
              <w:left w:val="nil"/>
              <w:bottom w:val="single" w:color="auto" w:sz="4" w:space="0"/>
              <w:right w:val="single" w:color="auto" w:sz="4" w:space="0"/>
            </w:tcBorders>
            <w:noWrap w:val="0"/>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988" w:type="dxa"/>
            <w:tcBorders>
              <w:top w:val="nil"/>
              <w:left w:val="nil"/>
              <w:bottom w:val="single" w:color="auto" w:sz="4" w:space="0"/>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79" w:type="dxa"/>
            <w:vMerge w:val="restart"/>
            <w:tcBorders>
              <w:top w:val="nil"/>
              <w:left w:val="nil"/>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719" w:type="dxa"/>
            <w:vMerge w:val="restart"/>
            <w:tcBorders>
              <w:top w:val="nil"/>
              <w:left w:val="nil"/>
              <w:right w:val="single" w:color="auto" w:sz="4" w:space="0"/>
            </w:tcBorders>
            <w:noWrap w:val="0"/>
            <w:tcMar>
              <w:top w:w="0" w:type="dxa"/>
              <w:left w:w="0" w:type="dxa"/>
              <w:bottom w:w="0" w:type="dxa"/>
              <w:right w:w="0" w:type="dxa"/>
            </w:tcMar>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371" w:type="dxa"/>
            <w:gridSpan w:val="2"/>
            <w:tcBorders>
              <w:top w:val="nil"/>
              <w:left w:val="nil"/>
              <w:bottom w:val="single" w:color="auto" w:sz="4" w:space="0"/>
              <w:right w:val="single" w:color="auto" w:sz="4" w:space="0"/>
            </w:tcBorders>
            <w:noWrap w:val="0"/>
            <w:vAlign w:val="center"/>
          </w:tcPr>
          <w:p>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县委理论中心组学习次数</w:t>
            </w:r>
          </w:p>
        </w:tc>
        <w:tc>
          <w:tcPr>
            <w:tcW w:w="1088" w:type="dxa"/>
            <w:tcBorders>
              <w:top w:val="nil"/>
              <w:left w:val="nil"/>
              <w:bottom w:val="single" w:color="auto" w:sz="4" w:space="0"/>
              <w:right w:val="single" w:color="auto" w:sz="4" w:space="0"/>
            </w:tcBorders>
            <w:noWrap w:val="0"/>
            <w:vAlign w:val="center"/>
          </w:tcPr>
          <w:p>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12</w:t>
            </w:r>
          </w:p>
        </w:tc>
        <w:tc>
          <w:tcPr>
            <w:tcW w:w="1253"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12</w:t>
            </w:r>
            <w:r>
              <w:rPr>
                <w:rFonts w:eastAsia="仿宋_GB2312"/>
                <w:color w:val="000000"/>
                <w:kern w:val="0"/>
                <w:sz w:val="18"/>
                <w:szCs w:val="18"/>
              </w:rPr>
              <w:t>　</w:t>
            </w:r>
          </w:p>
        </w:tc>
        <w:tc>
          <w:tcPr>
            <w:tcW w:w="548"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1147" w:type="dxa"/>
            <w:tcBorders>
              <w:top w:val="nil"/>
              <w:left w:val="nil"/>
              <w:bottom w:val="single" w:color="auto" w:sz="4" w:space="0"/>
              <w:right w:val="single" w:color="auto" w:sz="4" w:space="0"/>
            </w:tcBorders>
            <w:noWrap w:val="0"/>
            <w:vAlign w:val="center"/>
          </w:tcPr>
          <w:p>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988"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254" w:hRule="atLeast"/>
          <w:jc w:val="center"/>
        </w:trPr>
        <w:tc>
          <w:tcPr>
            <w:tcW w:w="978"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719" w:type="dxa"/>
            <w:vMerge w:val="continue"/>
            <w:tcBorders>
              <w:left w:val="nil"/>
              <w:right w:val="single" w:color="auto" w:sz="4" w:space="0"/>
            </w:tcBorders>
            <w:noWrap w:val="0"/>
            <w:tcMar>
              <w:top w:w="0" w:type="dxa"/>
              <w:left w:w="0" w:type="dxa"/>
              <w:bottom w:w="0" w:type="dxa"/>
              <w:right w:w="0" w:type="dxa"/>
            </w:tcMar>
            <w:vAlign w:val="center"/>
          </w:tcPr>
          <w:p>
            <w:pPr>
              <w:spacing w:line="240" w:lineRule="exact"/>
              <w:ind w:firstLine="360"/>
              <w:jc w:val="center"/>
              <w:rPr>
                <w:rFonts w:eastAsia="仿宋_GB2312"/>
                <w:color w:val="000000"/>
                <w:kern w:val="0"/>
                <w:sz w:val="18"/>
                <w:szCs w:val="18"/>
              </w:rPr>
            </w:pPr>
          </w:p>
        </w:tc>
        <w:tc>
          <w:tcPr>
            <w:tcW w:w="1371" w:type="dxa"/>
            <w:gridSpan w:val="2"/>
            <w:tcBorders>
              <w:top w:val="nil"/>
              <w:left w:val="nil"/>
              <w:bottom w:val="single" w:color="auto" w:sz="4" w:space="0"/>
              <w:right w:val="single" w:color="auto" w:sz="4" w:space="0"/>
            </w:tcBorders>
            <w:noWrap w:val="0"/>
            <w:vAlign w:val="center"/>
          </w:tcPr>
          <w:p>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市以上主流媒体新闻报道</w:t>
            </w:r>
          </w:p>
        </w:tc>
        <w:tc>
          <w:tcPr>
            <w:tcW w:w="1088"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1000</w:t>
            </w:r>
            <w:r>
              <w:rPr>
                <w:rFonts w:eastAsia="仿宋_GB2312"/>
                <w:color w:val="000000"/>
                <w:kern w:val="0"/>
                <w:sz w:val="18"/>
                <w:szCs w:val="18"/>
              </w:rPr>
              <w:t>　</w:t>
            </w:r>
          </w:p>
        </w:tc>
        <w:tc>
          <w:tcPr>
            <w:tcW w:w="1253"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900</w:t>
            </w:r>
            <w:r>
              <w:rPr>
                <w:rFonts w:eastAsia="仿宋_GB2312"/>
                <w:color w:val="000000"/>
                <w:kern w:val="0"/>
                <w:sz w:val="18"/>
                <w:szCs w:val="18"/>
              </w:rPr>
              <w:t>　</w:t>
            </w:r>
          </w:p>
        </w:tc>
        <w:tc>
          <w:tcPr>
            <w:tcW w:w="548"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1147" w:type="dxa"/>
            <w:tcBorders>
              <w:top w:val="nil"/>
              <w:left w:val="nil"/>
              <w:bottom w:val="single" w:color="auto" w:sz="4" w:space="0"/>
              <w:right w:val="single" w:color="auto" w:sz="4" w:space="0"/>
            </w:tcBorders>
            <w:noWrap w:val="0"/>
            <w:vAlign w:val="center"/>
          </w:tcPr>
          <w:p>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9</w:t>
            </w:r>
          </w:p>
        </w:tc>
        <w:tc>
          <w:tcPr>
            <w:tcW w:w="988"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198" w:hRule="atLeast"/>
          <w:jc w:val="center"/>
        </w:trPr>
        <w:tc>
          <w:tcPr>
            <w:tcW w:w="978"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719"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ind w:firstLine="360"/>
              <w:jc w:val="center"/>
              <w:rPr>
                <w:rFonts w:eastAsia="仿宋_GB2312"/>
                <w:color w:val="000000"/>
                <w:kern w:val="0"/>
                <w:sz w:val="18"/>
                <w:szCs w:val="18"/>
              </w:rPr>
            </w:pPr>
          </w:p>
        </w:tc>
        <w:tc>
          <w:tcPr>
            <w:tcW w:w="1371" w:type="dxa"/>
            <w:gridSpan w:val="2"/>
            <w:tcBorders>
              <w:top w:val="nil"/>
              <w:left w:val="nil"/>
              <w:bottom w:val="single" w:color="auto" w:sz="4" w:space="0"/>
              <w:right w:val="single" w:color="auto" w:sz="4" w:space="0"/>
            </w:tcBorders>
            <w:noWrap w:val="0"/>
            <w:vAlign w:val="center"/>
          </w:tcPr>
          <w:p>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意识形态巡察单位</w:t>
            </w:r>
          </w:p>
        </w:tc>
        <w:tc>
          <w:tcPr>
            <w:tcW w:w="1088"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8</w:t>
            </w:r>
            <w:r>
              <w:rPr>
                <w:rFonts w:eastAsia="仿宋_GB2312"/>
                <w:color w:val="000000"/>
                <w:kern w:val="0"/>
                <w:sz w:val="18"/>
                <w:szCs w:val="18"/>
              </w:rPr>
              <w:t>　</w:t>
            </w:r>
          </w:p>
        </w:tc>
        <w:tc>
          <w:tcPr>
            <w:tcW w:w="1253"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8</w:t>
            </w:r>
            <w:r>
              <w:rPr>
                <w:rFonts w:eastAsia="仿宋_GB2312"/>
                <w:color w:val="000000"/>
                <w:kern w:val="0"/>
                <w:sz w:val="18"/>
                <w:szCs w:val="18"/>
              </w:rPr>
              <w:t>　</w:t>
            </w:r>
          </w:p>
        </w:tc>
        <w:tc>
          <w:tcPr>
            <w:tcW w:w="548" w:type="dxa"/>
            <w:tcBorders>
              <w:top w:val="nil"/>
              <w:left w:val="nil"/>
              <w:bottom w:val="single" w:color="auto" w:sz="4" w:space="0"/>
              <w:right w:val="single" w:color="auto" w:sz="4" w:space="0"/>
            </w:tcBorders>
            <w:noWrap w:val="0"/>
            <w:vAlign w:val="center"/>
          </w:tcPr>
          <w:p>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1147"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w:t>
            </w:r>
            <w:r>
              <w:rPr>
                <w:rFonts w:eastAsia="仿宋_GB2312"/>
                <w:color w:val="000000"/>
                <w:kern w:val="0"/>
                <w:sz w:val="18"/>
                <w:szCs w:val="18"/>
              </w:rPr>
              <w:t>　</w:t>
            </w:r>
          </w:p>
        </w:tc>
        <w:tc>
          <w:tcPr>
            <w:tcW w:w="988"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730" w:hRule="atLeast"/>
          <w:jc w:val="center"/>
        </w:trPr>
        <w:tc>
          <w:tcPr>
            <w:tcW w:w="978"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79" w:type="dxa"/>
            <w:vMerge w:val="continue"/>
            <w:tcBorders>
              <w:left w:val="nil"/>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719" w:type="dxa"/>
            <w:tcBorders>
              <w:top w:val="nil"/>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371" w:type="dxa"/>
            <w:gridSpan w:val="2"/>
            <w:tcBorders>
              <w:top w:val="nil"/>
              <w:left w:val="nil"/>
              <w:right w:val="single" w:color="auto" w:sz="4" w:space="0"/>
            </w:tcBorders>
            <w:noWrap w:val="0"/>
            <w:vAlign w:val="center"/>
          </w:tcPr>
          <w:p>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市以上主流媒体新闻报道上稿率</w:t>
            </w:r>
          </w:p>
        </w:tc>
        <w:tc>
          <w:tcPr>
            <w:tcW w:w="1088" w:type="dxa"/>
            <w:tcBorders>
              <w:top w:val="nil"/>
              <w:left w:val="nil"/>
              <w:bottom w:val="single" w:color="auto" w:sz="4" w:space="0"/>
              <w:right w:val="single" w:color="auto" w:sz="4" w:space="0"/>
            </w:tcBorders>
            <w:noWrap w:val="0"/>
            <w:vAlign w:val="center"/>
          </w:tcPr>
          <w:p>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90</w:t>
            </w:r>
            <w:r>
              <w:rPr>
                <w:rFonts w:eastAsia="仿宋_GB2312"/>
                <w:color w:val="000000"/>
                <w:kern w:val="0"/>
                <w:sz w:val="18"/>
                <w:szCs w:val="18"/>
              </w:rPr>
              <w:t>　</w:t>
            </w:r>
          </w:p>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53" w:type="dxa"/>
            <w:tcBorders>
              <w:top w:val="nil"/>
              <w:left w:val="nil"/>
              <w:bottom w:val="single" w:color="auto" w:sz="4" w:space="0"/>
              <w:right w:val="single" w:color="auto" w:sz="4" w:space="0"/>
            </w:tcBorders>
            <w:noWrap w:val="0"/>
            <w:vAlign w:val="center"/>
          </w:tcPr>
          <w:p>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90</w:t>
            </w:r>
          </w:p>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548" w:type="dxa"/>
            <w:tcBorders>
              <w:top w:val="nil"/>
              <w:left w:val="nil"/>
              <w:bottom w:val="single" w:color="auto" w:sz="4" w:space="0"/>
              <w:right w:val="single" w:color="auto" w:sz="4" w:space="0"/>
            </w:tcBorders>
            <w:noWrap w:val="0"/>
            <w:vAlign w:val="center"/>
          </w:tcPr>
          <w:p>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10</w:t>
            </w:r>
            <w:r>
              <w:rPr>
                <w:rFonts w:eastAsia="仿宋_GB2312"/>
                <w:color w:val="000000"/>
                <w:kern w:val="0"/>
                <w:sz w:val="18"/>
                <w:szCs w:val="18"/>
              </w:rPr>
              <w:t>　</w:t>
            </w:r>
          </w:p>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7" w:type="dxa"/>
            <w:tcBorders>
              <w:top w:val="nil"/>
              <w:left w:val="nil"/>
              <w:bottom w:val="single" w:color="auto" w:sz="4" w:space="0"/>
              <w:right w:val="single" w:color="auto" w:sz="4" w:space="0"/>
            </w:tcBorders>
            <w:noWrap w:val="0"/>
            <w:vAlign w:val="center"/>
          </w:tcPr>
          <w:p>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10</w:t>
            </w:r>
            <w:r>
              <w:rPr>
                <w:rFonts w:eastAsia="仿宋_GB2312"/>
                <w:color w:val="000000"/>
                <w:kern w:val="0"/>
                <w:sz w:val="18"/>
                <w:szCs w:val="18"/>
              </w:rPr>
              <w:t>　</w:t>
            </w:r>
          </w:p>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88"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553" w:hRule="atLeast"/>
          <w:jc w:val="center"/>
        </w:trPr>
        <w:tc>
          <w:tcPr>
            <w:tcW w:w="978"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79" w:type="dxa"/>
            <w:vMerge w:val="continue"/>
            <w:tcBorders>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719"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县委理论中心组学习及时率</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90</w:t>
            </w:r>
            <w:r>
              <w:rPr>
                <w:rFonts w:eastAsia="仿宋_GB2312"/>
                <w:color w:val="000000"/>
                <w:kern w:val="0"/>
                <w:sz w:val="18"/>
                <w:szCs w:val="18"/>
              </w:rPr>
              <w:t>　</w:t>
            </w:r>
          </w:p>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53" w:type="dxa"/>
            <w:tcBorders>
              <w:top w:val="single" w:color="auto" w:sz="4" w:space="0"/>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90</w:t>
            </w:r>
          </w:p>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548"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10</w:t>
            </w:r>
            <w:r>
              <w:rPr>
                <w:rFonts w:eastAsia="仿宋_GB2312"/>
                <w:color w:val="000000"/>
                <w:kern w:val="0"/>
                <w:sz w:val="18"/>
                <w:szCs w:val="18"/>
              </w:rPr>
              <w:t>　</w:t>
            </w:r>
          </w:p>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7" w:type="dxa"/>
            <w:tcBorders>
              <w:top w:val="single" w:color="auto" w:sz="4" w:space="0"/>
              <w:left w:val="nil"/>
              <w:bottom w:val="single" w:color="auto" w:sz="4" w:space="0"/>
              <w:right w:val="single" w:color="auto" w:sz="4" w:space="0"/>
            </w:tcBorders>
            <w:noWrap w:val="0"/>
            <w:vAlign w:val="center"/>
          </w:tcPr>
          <w:p>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10</w:t>
            </w:r>
            <w:r>
              <w:rPr>
                <w:rFonts w:eastAsia="仿宋_GB2312"/>
                <w:color w:val="000000"/>
                <w:kern w:val="0"/>
                <w:sz w:val="18"/>
                <w:szCs w:val="18"/>
              </w:rPr>
              <w:t>　</w:t>
            </w:r>
          </w:p>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988"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792" w:hRule="atLeast"/>
          <w:jc w:val="center"/>
        </w:trPr>
        <w:tc>
          <w:tcPr>
            <w:tcW w:w="978"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79"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eastAsia="zh-CN"/>
              </w:rPr>
              <w:t>成本指标（</w:t>
            </w:r>
            <w:r>
              <w:rPr>
                <w:rFonts w:hint="eastAsia" w:eastAsia="仿宋_GB2312"/>
                <w:color w:val="000000"/>
                <w:kern w:val="0"/>
                <w:sz w:val="18"/>
                <w:szCs w:val="18"/>
                <w:lang w:val="en-US" w:eastAsia="zh-CN"/>
              </w:rPr>
              <w:t>10分）</w:t>
            </w:r>
          </w:p>
        </w:tc>
        <w:tc>
          <w:tcPr>
            <w:tcW w:w="719"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371"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2024年部门预算</w:t>
            </w:r>
          </w:p>
        </w:tc>
        <w:tc>
          <w:tcPr>
            <w:tcW w:w="1088" w:type="dxa"/>
            <w:tcBorders>
              <w:top w:val="single" w:color="auto" w:sz="4" w:space="0"/>
              <w:left w:val="single" w:color="auto" w:sz="4" w:space="0"/>
              <w:bottom w:val="single" w:color="auto" w:sz="4" w:space="0"/>
              <w:right w:val="single" w:color="auto" w:sz="4" w:space="0"/>
            </w:tcBorders>
            <w:noWrap w:val="0"/>
            <w:vAlign w:val="bottom"/>
          </w:tcPr>
          <w:p>
            <w:pPr>
              <w:spacing w:line="240" w:lineRule="exact"/>
              <w:ind w:firstLine="360"/>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506.29</w:t>
            </w:r>
          </w:p>
          <w:p>
            <w:pPr>
              <w:spacing w:line="240" w:lineRule="exact"/>
              <w:ind w:firstLine="360"/>
              <w:jc w:val="center"/>
              <w:rPr>
                <w:rFonts w:eastAsia="仿宋_GB2312"/>
                <w:color w:val="000000"/>
                <w:kern w:val="0"/>
                <w:sz w:val="18"/>
                <w:szCs w:val="18"/>
              </w:rPr>
            </w:pPr>
          </w:p>
          <w:p>
            <w:pPr>
              <w:spacing w:line="240" w:lineRule="exact"/>
              <w:ind w:firstLine="360"/>
              <w:jc w:val="center"/>
              <w:rPr>
                <w:rFonts w:eastAsia="仿宋_GB2312"/>
                <w:color w:val="000000"/>
                <w:kern w:val="0"/>
                <w:sz w:val="18"/>
                <w:szCs w:val="18"/>
              </w:rPr>
            </w:pPr>
          </w:p>
        </w:tc>
        <w:tc>
          <w:tcPr>
            <w:tcW w:w="1253" w:type="dxa"/>
            <w:tcBorders>
              <w:top w:val="single" w:color="auto" w:sz="4" w:space="0"/>
              <w:left w:val="nil"/>
              <w:bottom w:val="single" w:color="auto" w:sz="4" w:space="0"/>
              <w:right w:val="single" w:color="auto" w:sz="4" w:space="0"/>
            </w:tcBorders>
            <w:noWrap w:val="0"/>
            <w:vAlign w:val="bottom"/>
          </w:tcPr>
          <w:p>
            <w:pPr>
              <w:spacing w:line="240" w:lineRule="exact"/>
              <w:ind w:firstLine="36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506.29</w:t>
            </w:r>
          </w:p>
          <w:p>
            <w:pPr>
              <w:spacing w:line="240" w:lineRule="exact"/>
              <w:ind w:firstLine="360"/>
              <w:jc w:val="both"/>
              <w:rPr>
                <w:rFonts w:eastAsia="仿宋_GB2312"/>
                <w:color w:val="000000"/>
                <w:kern w:val="0"/>
                <w:sz w:val="18"/>
                <w:szCs w:val="18"/>
              </w:rPr>
            </w:pPr>
          </w:p>
          <w:p>
            <w:pPr>
              <w:spacing w:line="240" w:lineRule="exact"/>
              <w:ind w:firstLine="360"/>
              <w:jc w:val="center"/>
              <w:rPr>
                <w:rFonts w:eastAsia="仿宋_GB2312"/>
                <w:color w:val="000000"/>
                <w:kern w:val="0"/>
                <w:sz w:val="18"/>
                <w:szCs w:val="18"/>
              </w:rPr>
            </w:pPr>
          </w:p>
        </w:tc>
        <w:tc>
          <w:tcPr>
            <w:tcW w:w="548" w:type="dxa"/>
            <w:tcBorders>
              <w:top w:val="single" w:color="auto" w:sz="4" w:space="0"/>
              <w:left w:val="nil"/>
              <w:bottom w:val="single" w:color="auto" w:sz="4" w:space="0"/>
              <w:right w:val="single" w:color="auto" w:sz="4" w:space="0"/>
            </w:tcBorders>
            <w:noWrap w:val="0"/>
            <w:vAlign w:val="bottom"/>
          </w:tcPr>
          <w:p>
            <w:pPr>
              <w:spacing w:line="240" w:lineRule="exact"/>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10</w:t>
            </w:r>
          </w:p>
          <w:p>
            <w:pPr>
              <w:spacing w:line="240" w:lineRule="exact"/>
              <w:ind w:firstLine="360"/>
              <w:jc w:val="center"/>
              <w:rPr>
                <w:rFonts w:eastAsia="仿宋_GB2312"/>
                <w:color w:val="000000"/>
                <w:kern w:val="0"/>
                <w:sz w:val="18"/>
                <w:szCs w:val="18"/>
              </w:rPr>
            </w:pPr>
          </w:p>
          <w:p>
            <w:pPr>
              <w:spacing w:line="240" w:lineRule="exact"/>
              <w:ind w:firstLine="360"/>
              <w:jc w:val="center"/>
              <w:rPr>
                <w:rFonts w:eastAsia="仿宋_GB2312"/>
                <w:color w:val="000000"/>
                <w:kern w:val="0"/>
                <w:sz w:val="18"/>
                <w:szCs w:val="18"/>
              </w:rPr>
            </w:pPr>
          </w:p>
        </w:tc>
        <w:tc>
          <w:tcPr>
            <w:tcW w:w="1147" w:type="dxa"/>
            <w:tcBorders>
              <w:top w:val="single" w:color="auto" w:sz="4" w:space="0"/>
              <w:left w:val="nil"/>
              <w:bottom w:val="single" w:color="auto" w:sz="4" w:space="0"/>
              <w:right w:val="single" w:color="auto" w:sz="4" w:space="0"/>
            </w:tcBorders>
            <w:noWrap w:val="0"/>
            <w:vAlign w:val="bottom"/>
          </w:tcPr>
          <w:p>
            <w:pPr>
              <w:spacing w:line="240" w:lineRule="exact"/>
              <w:ind w:firstLine="360"/>
              <w:jc w:val="both"/>
              <w:rPr>
                <w:rFonts w:eastAsia="仿宋_GB2312"/>
                <w:color w:val="000000"/>
                <w:kern w:val="0"/>
                <w:sz w:val="18"/>
                <w:szCs w:val="18"/>
              </w:rPr>
            </w:pPr>
            <w:r>
              <w:rPr>
                <w:rFonts w:hint="eastAsia" w:eastAsia="仿宋_GB2312"/>
                <w:color w:val="000000"/>
                <w:kern w:val="0"/>
                <w:sz w:val="18"/>
                <w:szCs w:val="18"/>
                <w:lang w:val="en-US" w:eastAsia="zh-CN"/>
              </w:rPr>
              <w:t>10</w:t>
            </w:r>
          </w:p>
          <w:p>
            <w:pPr>
              <w:spacing w:line="240" w:lineRule="exact"/>
              <w:ind w:firstLine="360"/>
              <w:jc w:val="center"/>
              <w:rPr>
                <w:rFonts w:eastAsia="仿宋_GB2312"/>
                <w:color w:val="000000"/>
                <w:kern w:val="0"/>
                <w:sz w:val="18"/>
                <w:szCs w:val="18"/>
              </w:rPr>
            </w:pPr>
          </w:p>
          <w:p>
            <w:pPr>
              <w:spacing w:line="240" w:lineRule="exact"/>
              <w:ind w:firstLine="360"/>
              <w:jc w:val="center"/>
              <w:rPr>
                <w:rFonts w:eastAsia="仿宋_GB2312"/>
                <w:color w:val="000000"/>
                <w:kern w:val="0"/>
                <w:sz w:val="18"/>
                <w:szCs w:val="18"/>
              </w:rPr>
            </w:pPr>
          </w:p>
        </w:tc>
        <w:tc>
          <w:tcPr>
            <w:tcW w:w="988"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730" w:hRule="atLeast"/>
          <w:jc w:val="center"/>
        </w:trPr>
        <w:tc>
          <w:tcPr>
            <w:tcW w:w="978"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79" w:type="dxa"/>
            <w:tcBorders>
              <w:top w:val="single" w:color="auto" w:sz="4" w:space="0"/>
              <w:left w:val="nil"/>
              <w:bottom w:val="single" w:color="auto" w:sz="4" w:space="0"/>
              <w:right w:val="single" w:color="auto" w:sz="4" w:space="0"/>
            </w:tcBorders>
            <w:noWrap w:val="0"/>
            <w:vAlign w:val="center"/>
          </w:tcPr>
          <w:p>
            <w:pPr>
              <w:spacing w:line="240" w:lineRule="exact"/>
              <w:ind w:firstLine="0" w:firstLineChars="0"/>
              <w:jc w:val="center"/>
              <w:rPr>
                <w:rFonts w:hint="default" w:eastAsia="仿宋_GB2312"/>
                <w:color w:val="000000"/>
                <w:kern w:val="0"/>
                <w:sz w:val="18"/>
                <w:szCs w:val="18"/>
                <w:lang w:val="en-US" w:eastAsia="zh-CN"/>
              </w:rPr>
            </w:pPr>
            <w:r>
              <w:rPr>
                <w:rFonts w:hint="eastAsia" w:eastAsia="仿宋_GB2312"/>
                <w:color w:val="000000"/>
                <w:kern w:val="0"/>
                <w:sz w:val="18"/>
                <w:szCs w:val="18"/>
                <w:lang w:eastAsia="zh-CN"/>
              </w:rPr>
              <w:t>效益指标（</w:t>
            </w:r>
            <w:r>
              <w:rPr>
                <w:rFonts w:hint="eastAsia" w:eastAsia="仿宋_GB2312"/>
                <w:color w:val="000000"/>
                <w:kern w:val="0"/>
                <w:sz w:val="18"/>
                <w:szCs w:val="18"/>
                <w:lang w:val="en-US" w:eastAsia="zh-CN"/>
              </w:rPr>
              <w:t>20分）</w:t>
            </w:r>
          </w:p>
        </w:tc>
        <w:tc>
          <w:tcPr>
            <w:tcW w:w="719" w:type="dxa"/>
            <w:tcBorders>
              <w:top w:val="single" w:color="auto" w:sz="4" w:space="0"/>
              <w:left w:val="nil"/>
              <w:bottom w:val="single" w:color="auto" w:sz="4" w:space="0"/>
              <w:right w:val="single" w:color="auto" w:sz="4" w:space="0"/>
            </w:tcBorders>
            <w:noWrap w:val="0"/>
            <w:tcMar>
              <w:top w:w="0" w:type="dxa"/>
              <w:left w:w="0" w:type="dxa"/>
              <w:bottom w:w="0" w:type="dxa"/>
              <w:right w:w="0" w:type="dxa"/>
            </w:tcMar>
            <w:vAlign w:val="center"/>
          </w:tcPr>
          <w:p>
            <w:pPr>
              <w:spacing w:line="240" w:lineRule="exact"/>
              <w:ind w:firstLine="0" w:firstLineChars="0"/>
              <w:jc w:val="center"/>
              <w:rPr>
                <w:rFonts w:eastAsia="仿宋_GB2312"/>
                <w:color w:val="000000"/>
                <w:kern w:val="0"/>
                <w:sz w:val="18"/>
                <w:szCs w:val="18"/>
              </w:rPr>
            </w:pPr>
            <w:bookmarkStart w:id="4" w:name="OLE_LINK5"/>
            <w:r>
              <w:rPr>
                <w:rFonts w:eastAsia="仿宋_GB2312"/>
                <w:color w:val="000000"/>
                <w:kern w:val="0"/>
                <w:sz w:val="18"/>
                <w:szCs w:val="18"/>
              </w:rPr>
              <w:t>社会</w:t>
            </w:r>
          </w:p>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bookmarkEnd w:id="4"/>
          </w:p>
        </w:tc>
        <w:tc>
          <w:tcPr>
            <w:tcW w:w="1371" w:type="dxa"/>
            <w:gridSpan w:val="2"/>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增强社会凝聚力</w:t>
            </w:r>
          </w:p>
        </w:tc>
        <w:tc>
          <w:tcPr>
            <w:tcW w:w="1088" w:type="dxa"/>
            <w:tcBorders>
              <w:top w:val="single" w:color="auto" w:sz="4" w:space="0"/>
              <w:left w:val="nil"/>
              <w:bottom w:val="single" w:color="auto" w:sz="4" w:space="0"/>
              <w:right w:val="single" w:color="auto" w:sz="4" w:space="0"/>
            </w:tcBorders>
            <w:noWrap w:val="0"/>
            <w:vAlign w:val="center"/>
          </w:tcPr>
          <w:p>
            <w:pPr>
              <w:spacing w:line="240" w:lineRule="exact"/>
              <w:ind w:firstLine="360"/>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优化</w:t>
            </w:r>
            <w:r>
              <w:rPr>
                <w:rFonts w:eastAsia="仿宋_GB2312"/>
                <w:color w:val="000000"/>
                <w:kern w:val="0"/>
                <w:sz w:val="18"/>
                <w:szCs w:val="18"/>
              </w:rPr>
              <w:t>　</w:t>
            </w:r>
          </w:p>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53" w:type="dxa"/>
            <w:tcBorders>
              <w:top w:val="single" w:color="auto" w:sz="4" w:space="0"/>
              <w:left w:val="nil"/>
              <w:bottom w:val="single" w:color="auto" w:sz="4" w:space="0"/>
              <w:right w:val="single" w:color="auto" w:sz="4" w:space="0"/>
            </w:tcBorders>
            <w:noWrap w:val="0"/>
            <w:vAlign w:val="center"/>
          </w:tcPr>
          <w:p>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85%</w:t>
            </w:r>
            <w:r>
              <w:rPr>
                <w:rFonts w:eastAsia="仿宋_GB2312"/>
                <w:color w:val="000000"/>
                <w:kern w:val="0"/>
                <w:sz w:val="18"/>
                <w:szCs w:val="18"/>
              </w:rPr>
              <w:t>　</w:t>
            </w:r>
          </w:p>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548"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20</w:t>
            </w:r>
            <w:r>
              <w:rPr>
                <w:rFonts w:eastAsia="仿宋_GB2312"/>
                <w:color w:val="000000"/>
                <w:kern w:val="0"/>
                <w:sz w:val="18"/>
                <w:szCs w:val="18"/>
              </w:rPr>
              <w:t>　</w:t>
            </w:r>
          </w:p>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147" w:type="dxa"/>
            <w:tcBorders>
              <w:top w:val="single" w:color="auto" w:sz="4" w:space="0"/>
              <w:left w:val="nil"/>
              <w:bottom w:val="single" w:color="auto" w:sz="4" w:space="0"/>
              <w:right w:val="single" w:color="auto" w:sz="4" w:space="0"/>
            </w:tcBorders>
            <w:noWrap w:val="0"/>
            <w:vAlign w:val="center"/>
          </w:tcPr>
          <w:p>
            <w:pPr>
              <w:spacing w:line="240" w:lineRule="exact"/>
              <w:ind w:firstLine="360"/>
              <w:jc w:val="both"/>
              <w:rPr>
                <w:rFonts w:eastAsia="仿宋_GB2312"/>
                <w:color w:val="000000"/>
                <w:kern w:val="0"/>
                <w:sz w:val="18"/>
                <w:szCs w:val="18"/>
              </w:rPr>
            </w:pPr>
            <w:r>
              <w:rPr>
                <w:rFonts w:hint="eastAsia" w:eastAsia="仿宋_GB2312"/>
                <w:color w:val="000000"/>
                <w:kern w:val="0"/>
                <w:sz w:val="18"/>
                <w:szCs w:val="18"/>
                <w:lang w:val="en-US" w:eastAsia="zh-CN"/>
              </w:rPr>
              <w:t>18</w:t>
            </w:r>
          </w:p>
          <w:p>
            <w:pPr>
              <w:spacing w:line="240" w:lineRule="exact"/>
              <w:ind w:firstLine="360"/>
              <w:jc w:val="center"/>
              <w:rPr>
                <w:rFonts w:eastAsia="仿宋_GB2312"/>
                <w:color w:val="000000"/>
                <w:kern w:val="0"/>
                <w:sz w:val="18"/>
                <w:szCs w:val="18"/>
              </w:rPr>
            </w:pPr>
          </w:p>
        </w:tc>
        <w:tc>
          <w:tcPr>
            <w:tcW w:w="988"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267" w:hRule="atLeast"/>
          <w:jc w:val="center"/>
        </w:trPr>
        <w:tc>
          <w:tcPr>
            <w:tcW w:w="978" w:type="dxa"/>
            <w:vMerge w:val="continue"/>
            <w:tcBorders>
              <w:left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p>
        </w:tc>
        <w:tc>
          <w:tcPr>
            <w:tcW w:w="979" w:type="dxa"/>
            <w:tcBorders>
              <w:top w:val="single" w:color="auto" w:sz="4" w:space="0"/>
              <w:left w:val="nil"/>
              <w:right w:val="single" w:color="auto" w:sz="4" w:space="0"/>
            </w:tcBorders>
            <w:noWrap w:val="0"/>
            <w:vAlign w:val="center"/>
          </w:tcPr>
          <w:p>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19" w:type="dxa"/>
            <w:tcBorders>
              <w:top w:val="single" w:color="auto" w:sz="4" w:space="0"/>
              <w:left w:val="nil"/>
              <w:right w:val="single" w:color="auto" w:sz="4" w:space="0"/>
            </w:tcBorders>
            <w:noWrap w:val="0"/>
            <w:tcMar>
              <w:top w:w="0" w:type="dxa"/>
              <w:left w:w="0" w:type="dxa"/>
              <w:bottom w:w="0" w:type="dxa"/>
              <w:right w:w="0" w:type="dxa"/>
            </w:tcMar>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服务</w:t>
            </w:r>
          </w:p>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对象</w:t>
            </w:r>
          </w:p>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满意度</w:t>
            </w:r>
          </w:p>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71" w:type="dxa"/>
            <w:gridSpan w:val="2"/>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群众满意度</w:t>
            </w:r>
          </w:p>
        </w:tc>
        <w:tc>
          <w:tcPr>
            <w:tcW w:w="1088" w:type="dxa"/>
            <w:tcBorders>
              <w:top w:val="single" w:color="auto" w:sz="4" w:space="0"/>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90</w:t>
            </w:r>
            <w:r>
              <w:rPr>
                <w:rFonts w:eastAsia="仿宋_GB2312"/>
                <w:color w:val="000000"/>
                <w:kern w:val="0"/>
                <w:sz w:val="18"/>
                <w:szCs w:val="18"/>
              </w:rPr>
              <w:t>　</w:t>
            </w:r>
          </w:p>
        </w:tc>
        <w:tc>
          <w:tcPr>
            <w:tcW w:w="1253" w:type="dxa"/>
            <w:tcBorders>
              <w:top w:val="single" w:color="auto" w:sz="4" w:space="0"/>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88</w:t>
            </w:r>
            <w:r>
              <w:rPr>
                <w:rFonts w:eastAsia="仿宋_GB2312"/>
                <w:color w:val="000000"/>
                <w:kern w:val="0"/>
                <w:sz w:val="18"/>
                <w:szCs w:val="18"/>
              </w:rPr>
              <w:t>　</w:t>
            </w:r>
          </w:p>
        </w:tc>
        <w:tc>
          <w:tcPr>
            <w:tcW w:w="548"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10</w:t>
            </w:r>
          </w:p>
        </w:tc>
        <w:tc>
          <w:tcPr>
            <w:tcW w:w="1147" w:type="dxa"/>
            <w:tcBorders>
              <w:top w:val="single" w:color="auto" w:sz="4" w:space="0"/>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8</w:t>
            </w:r>
            <w:r>
              <w:rPr>
                <w:rFonts w:eastAsia="仿宋_GB2312"/>
                <w:color w:val="000000"/>
                <w:kern w:val="0"/>
                <w:sz w:val="18"/>
                <w:szCs w:val="18"/>
              </w:rPr>
              <w:t>　</w:t>
            </w:r>
          </w:p>
        </w:tc>
        <w:tc>
          <w:tcPr>
            <w:tcW w:w="988"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tblPrEx>
          <w:tblCellMar>
            <w:top w:w="0" w:type="dxa"/>
            <w:left w:w="108" w:type="dxa"/>
            <w:bottom w:w="0" w:type="dxa"/>
            <w:right w:w="108" w:type="dxa"/>
          </w:tblCellMar>
        </w:tblPrEx>
        <w:trPr>
          <w:trHeight w:val="295" w:hRule="atLeast"/>
          <w:jc w:val="center"/>
        </w:trPr>
        <w:tc>
          <w:tcPr>
            <w:tcW w:w="6388" w:type="dxa"/>
            <w:gridSpan w:val="7"/>
            <w:tcBorders>
              <w:top w:val="single" w:color="auto" w:sz="4" w:space="0"/>
              <w:left w:val="single" w:color="auto" w:sz="4" w:space="0"/>
              <w:bottom w:val="single" w:color="auto" w:sz="4" w:space="0"/>
              <w:right w:val="single" w:color="000000" w:sz="4" w:space="0"/>
            </w:tcBorders>
            <w:noWrap w:val="0"/>
            <w:vAlign w:val="center"/>
          </w:tcPr>
          <w:p>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548" w:type="dxa"/>
            <w:tcBorders>
              <w:top w:val="nil"/>
              <w:left w:val="nil"/>
              <w:bottom w:val="single" w:color="auto" w:sz="4" w:space="0"/>
              <w:right w:val="single" w:color="auto" w:sz="4" w:space="0"/>
            </w:tcBorders>
            <w:noWrap w:val="0"/>
            <w:vAlign w:val="center"/>
          </w:tcPr>
          <w:p>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100</w:t>
            </w:r>
          </w:p>
        </w:tc>
        <w:tc>
          <w:tcPr>
            <w:tcW w:w="1147"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92.36</w:t>
            </w:r>
            <w:r>
              <w:rPr>
                <w:rFonts w:eastAsia="仿宋_GB2312"/>
                <w:color w:val="000000"/>
                <w:kern w:val="0"/>
                <w:sz w:val="18"/>
                <w:szCs w:val="18"/>
              </w:rPr>
              <w:t>　</w:t>
            </w:r>
          </w:p>
        </w:tc>
        <w:tc>
          <w:tcPr>
            <w:tcW w:w="988" w:type="dxa"/>
            <w:tcBorders>
              <w:top w:val="nil"/>
              <w:left w:val="nil"/>
              <w:bottom w:val="single" w:color="auto" w:sz="4" w:space="0"/>
              <w:right w:val="single" w:color="auto" w:sz="4" w:space="0"/>
            </w:tcBorders>
            <w:noWrap w:val="0"/>
            <w:vAlign w:val="center"/>
          </w:tcPr>
          <w:p>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948F8"/>
    <w:multiLevelType w:val="singleLevel"/>
    <w:tmpl w:val="BDF948F8"/>
    <w:lvl w:ilvl="0" w:tentative="0">
      <w:start w:val="7"/>
      <w:numFmt w:val="chineseCounting"/>
      <w:suff w:val="nothing"/>
      <w:lvlText w:val="%1、"/>
      <w:lvlJc w:val="left"/>
      <w:rPr>
        <w:rFonts w:hint="eastAsia"/>
      </w:rPr>
    </w:lvl>
  </w:abstractNum>
  <w:abstractNum w:abstractNumId="1">
    <w:nsid w:val="EC81D1B1"/>
    <w:multiLevelType w:val="singleLevel"/>
    <w:tmpl w:val="EC81D1B1"/>
    <w:lvl w:ilvl="0" w:tentative="0">
      <w:start w:val="1"/>
      <w:numFmt w:val="decimal"/>
      <w:suff w:val="nothing"/>
      <w:lvlText w:val="%1、"/>
      <w:lvlJc w:val="left"/>
    </w:lvl>
  </w:abstractNum>
  <w:abstractNum w:abstractNumId="2">
    <w:nsid w:val="7D808E57"/>
    <w:multiLevelType w:val="singleLevel"/>
    <w:tmpl w:val="7D808E57"/>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1ZWE4NGI1ZDExMTJlNzRiNGU4MmFlYTBkMWRmNjAifQ=="/>
    <w:docVar w:name="KSO_WPS_MARK_KEY" w:val="49358a1e-ea60-4363-b6f6-d1b6efb0f3d8"/>
  </w:docVars>
  <w:rsids>
    <w:rsidRoot w:val="00000000"/>
    <w:rsid w:val="279F6321"/>
    <w:rsid w:val="2D2D3E67"/>
    <w:rsid w:val="32977045"/>
    <w:rsid w:val="40B57568"/>
    <w:rsid w:val="52B318F4"/>
    <w:rsid w:val="554E6F60"/>
    <w:rsid w:val="7A1D7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after="200" w:line="276" w:lineRule="auto"/>
    </w:pPr>
    <w:rPr>
      <w:rFonts w:ascii="Arial" w:hAnsi="Arial" w:eastAsia="宋体"/>
      <w:sz w:val="24"/>
      <w:szCs w:val="24"/>
    </w:rPr>
  </w:style>
  <w:style w:type="paragraph" w:styleId="3">
    <w:name w:val="Body Text"/>
    <w:basedOn w:val="1"/>
    <w:next w:val="4"/>
    <w:unhideWhenUsed/>
    <w:qFormat/>
    <w:uiPriority w:val="99"/>
    <w:pPr>
      <w:spacing w:after="120"/>
    </w:p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paragraph" w:styleId="5">
    <w:name w:val="Body Text Indent"/>
    <w:basedOn w:val="1"/>
    <w:qFormat/>
    <w:uiPriority w:val="0"/>
    <w:pPr>
      <w:ind w:firstLine="640" w:firstLineChars="200"/>
    </w:pPr>
    <w:rPr>
      <w:sz w:val="32"/>
    </w:rPr>
  </w:style>
  <w:style w:type="paragraph" w:styleId="6">
    <w:name w:val="footnote text"/>
    <w:basedOn w:val="1"/>
    <w:next w:val="3"/>
    <w:qFormat/>
    <w:uiPriority w:val="0"/>
    <w:pPr>
      <w:snapToGrid w:val="0"/>
      <w:jc w:val="left"/>
    </w:pPr>
    <w:rPr>
      <w:szCs w:val="18"/>
    </w:rPr>
  </w:style>
  <w:style w:type="paragraph" w:styleId="7">
    <w:name w:val="Body Text First Indent 2"/>
    <w:basedOn w:val="5"/>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4481</Words>
  <Characters>4623</Characters>
  <Lines>0</Lines>
  <Paragraphs>0</Paragraphs>
  <TotalTime>0</TotalTime>
  <ScaleCrop>false</ScaleCrop>
  <LinksUpToDate>false</LinksUpToDate>
  <CharactersWithSpaces>4632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嘎猛砸</cp:lastModifiedBy>
  <dcterms:modified xsi:type="dcterms:W3CDTF">2025-09-26T03:43:37Z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49D27B36AE114257A3608F233AB1C425_12</vt:lpwstr>
  </property>
</Properties>
</file>