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419C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3B80B459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25D5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实做好202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年度部门整体支出绩效自评工作，提高财政资金使用效益，根据《隆回县财政局关于开展202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年度部门整体支出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和县级专项资金支出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评价工作的通知》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隆财绩202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号文件要求，结合实际，现将我单位整体支出绩效自评结果报告如下：</w:t>
      </w:r>
    </w:p>
    <w:p w14:paraId="57BA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24B2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部门基本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情况</w:t>
      </w:r>
    </w:p>
    <w:p w14:paraId="7541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1、机构设置及编制情况</w:t>
      </w:r>
    </w:p>
    <w:p w14:paraId="5729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羊古坳镇人民政府单位编制人数为81人，实际人数113人，其中在职8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人，离退休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 w:cs="仿宋"/>
          <w:sz w:val="30"/>
          <w:szCs w:val="30"/>
        </w:rPr>
        <w:t>人。小车编制数0台，实际0台。县配消防车1台。遗属补助人数9人，房屋面积3448平方米。</w:t>
      </w:r>
    </w:p>
    <w:p w14:paraId="287B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羊古坳镇人民政府内设机构包括四个内设机构：党政办公室、党建办公室、经济发展办公室、社平安法治和应急管理办公室；一个执法机构：行政综合执法大队；四个直属事业单位：社会事务综合服务中心、农业综合服务中心、生态事务中心、退役军人服务站。</w:t>
      </w:r>
    </w:p>
    <w:p w14:paraId="498D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2、主要职责职能</w:t>
      </w:r>
    </w:p>
    <w:p w14:paraId="2758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贯彻落实党和国家的路线方针政策，做好农业、农村、农民工作。围绕促进经济发展、增加农民收入，强化公共服务、着力改善民生，加强社会管理、维护农村稳定，推进基层民主、促进农村和谐四个方面全面履行职能。</w:t>
      </w:r>
    </w:p>
    <w:p w14:paraId="04F5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3、2024年的重点工作</w:t>
      </w:r>
    </w:p>
    <w:p w14:paraId="7BDB4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宣传和贯彻执行党的路线方针政策和法律法规；制定地方经济社会发展规划和年度计划并组织实施；坚持依法行政，推进民主政治，加强基层政权建设；做好农业、农村、农民和社区工作。</w:t>
      </w:r>
    </w:p>
    <w:p w14:paraId="56C79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落实基层管党治党工作责任制，加强党员队伍的思想建设、组织建设、作风建设、制度建设和党风廉政建设；做好党员管理、发展工作，改善党员队伍结构，提高党员素质；加强党对意识形态和统一战线工作的领导；指导工会、共青团、妇联等群团工作。</w:t>
      </w:r>
    </w:p>
    <w:p w14:paraId="488C3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规范经济管理，组织指导经济发展和经济结构调整；加强综合生产能力建设；健全社会化服务体系，完善产业支持保护体系，推进产业现代化；着力提升经济发展的质量和水平，发展壮大村级集体经济，增加村（居）民收入，不断提高人民生活水平。</w:t>
      </w:r>
    </w:p>
    <w:p w14:paraId="4E3E9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加强社会管理和基础设施建设，创造良好环境。推进政务、村（居）务公开；抓好卫生健康工作，保障妇女儿童合法权益；加强自然资源管理、生态环境保护和修复等工作；加强人民武装、民族宗教等工作；强化安全生产和公共安全，组织抢险救灾、优抚救助，及时上报和处置重大社情、疫情、险情等，保护人民群众的生命财产安全。</w:t>
      </w:r>
    </w:p>
    <w:p w14:paraId="2FC39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发展公益事业，强化公共服务。搞好公共设施建设，开展社会保障服务，着力解决群众生产生活中的问题；发展科教文卫事业，促进精神文明建设；加强公共服务体系建设。</w:t>
      </w:r>
    </w:p>
    <w:p w14:paraId="0617A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（6）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加强综合治理，维护社会稳定。调解民事纠纷、化解社会矛盾，接待上访群众，处理群体性突发事件，保证社会公正，维护社会秩序和社会稳定。指导村民自治，推动农村社会建设，促进社会组织健康发展，增强社会自治功能。</w:t>
      </w:r>
    </w:p>
    <w:p w14:paraId="0495F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（7）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按照管理权限，负责机关和事业单位工作人员的教育、培养、选拔和监督工作。协助管理好派驻单位人员。</w:t>
      </w:r>
    </w:p>
    <w:p w14:paraId="5C7D7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（8）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依法依规承担下放的经济社会管理权限和行政执法事项。</w:t>
      </w:r>
    </w:p>
    <w:p w14:paraId="26CA2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（9）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行使《中华人民共和国地方各级人民代表大会和地方各级人民政府组织法》等法律法规赋予的职权。</w:t>
      </w:r>
    </w:p>
    <w:p w14:paraId="2E2A0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（10）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完成县委、县政府交办的其它事项。</w:t>
      </w:r>
    </w:p>
    <w:p w14:paraId="36C75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）部门整体支出情况</w:t>
      </w:r>
    </w:p>
    <w:p w14:paraId="48F95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2024年度决算支出为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2293.46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万元,其中：一般公共预算财政拨款收入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1843.14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万元，政府性基金预算财政拨款收入5万元，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非财政拨款收入445.32万元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0B6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EBEF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（一）基本支出情况</w:t>
      </w:r>
    </w:p>
    <w:p w14:paraId="57F8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2024年度基本支出决算数为1728.29万元，是指为保障单位机构正常运转、完成日常工作任务而发生的各项支出，包括用于基本工资、津贴补贴等人员经费以及办公费、印刷费、水电费及办公设备购置等日常公用经费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。其中：人员经费1455.17万元，公用经费203.65万元。</w:t>
      </w:r>
    </w:p>
    <w:p w14:paraId="0F72DE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项目支出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情况</w:t>
      </w:r>
    </w:p>
    <w:p w14:paraId="61107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2023年度项目支出决算数为565.17万元，是指单位为完成选定行政工作或事业发展目标而发生的支出，包括有关事业发展专项、专项业务费、基本建设支出等。其中一般公共服务支出42.72万元、社会保障和就业支出12.31万元、城乡社区支出3.28万元、农林水支出109.53万、灾害防治及应急管理支出5万元。</w:t>
      </w:r>
    </w:p>
    <w:p w14:paraId="34A8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（三）“三公”经费情况</w:t>
      </w:r>
    </w:p>
    <w:p w14:paraId="5DDC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2023年本单位“三公”经费支出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2.54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</w:p>
    <w:p w14:paraId="3EA0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因公出国（境）费用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2803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公务接待费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2.54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3121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公务用车购置及运行费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sz w:val="30"/>
          <w:szCs w:val="30"/>
        </w:rPr>
        <w:t>（公务用车运行维护费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 xml:space="preserve">万元，公务用车购置费 0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z w:val="30"/>
          <w:szCs w:val="30"/>
        </w:rPr>
        <w:t>）。</w:t>
      </w:r>
    </w:p>
    <w:p w14:paraId="32AB20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三、政府性基金预算支出情况：</w:t>
      </w:r>
    </w:p>
    <w:p w14:paraId="3EB6EC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政府性基金预算预算支出5万元</w:t>
      </w:r>
    </w:p>
    <w:p w14:paraId="38C9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无</w:t>
      </w:r>
    </w:p>
    <w:p w14:paraId="5C8E7E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五、社会保险基金预算支出情况：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无</w:t>
      </w:r>
    </w:p>
    <w:p w14:paraId="3DFC8C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5971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经济性分析</w:t>
      </w:r>
    </w:p>
    <w:p w14:paraId="1860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主要包括成本控制情况和成本节约情况。严格按预算支出，保证专款专用，特别是“三公”经费的审批和控制，收入支出严格按账务管理制度执行，全年总支出未超过年初预算。</w:t>
      </w:r>
    </w:p>
    <w:p w14:paraId="4C21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）效率性分析</w:t>
      </w:r>
    </w:p>
    <w:p w14:paraId="3D9C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主要包括实施进度和完成质量。根据实际需求，按时支付各项支出。保证了乡政府各项工作的正常运转和相关人员的福利待遇，完成质量基本达到绩效目标，非税收入也按时按量完成。</w:t>
      </w:r>
    </w:p>
    <w:p w14:paraId="0CCA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）效益性分析</w:t>
      </w:r>
    </w:p>
    <w:p w14:paraId="031A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主要包括预期目标完成程度和对经济和社会的影响等。预算安排的基本支出保障了正常的工作运转，完成了项目预期目标，预算安排的项目支出是非常必要的，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村集体经济收入及农户收入显著增收，政府服务能力日益强化，人居环境也得到有效改善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。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4B6717F3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76B5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）预算准确率有待提高。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2024年决算数据大于年初预算数据，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导致预算准确率偏低，有待进一步提高。</w:t>
      </w:r>
    </w:p>
    <w:p w14:paraId="4D53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财政业务压力较大。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随着对预、决算编制工作水平要求越来越高，数据编制要求越来越精准、规范；时间紧、任务大；加之现行决算工作与实际账务处理工作间衔接还存在一定差异；会计人员业务明显增加，实际操作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压力大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8F0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）资产管理有待加强。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强化监督部门的职责意识，对财务管理机制进行调整与规范，确保各单位能够严格按照财务管理机制开展业务。对于年代久远的、报废等的固定资产要及时核对、处理。</w:t>
      </w:r>
    </w:p>
    <w:p w14:paraId="2E768AB6">
      <w:pPr>
        <w:rPr>
          <w:rFonts w:hint="eastAsia"/>
        </w:rPr>
      </w:pPr>
    </w:p>
    <w:p w14:paraId="6494D5D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5440C1C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准确编制预算。</w:t>
      </w:r>
    </w:p>
    <w:p w14:paraId="1233A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细化预算编制工作，认真做好预算的编制。进一步加强单位内部机构各站所的预算管理意识，严格按照预算编的相关制度和要求进行预算编制;全面编制预算项目，优先保障固定性的、相对刚性的费用支出项目，尽量压缩动性的、有控制空间的费用项目，进一步提高预算编制的科学性、严谨性和可控性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（二）加强财务管理，认真学习政策。</w:t>
      </w:r>
    </w:p>
    <w:p w14:paraId="1A81D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方面加强单位财务管理，健全单位财务管理制度体系，规范单位财务行为。在费用报账支付时，按照预算规定的费用项目和用途进行资金使用审核、列报支付、财务核算，杜绝超支现象的发生。另一方面加强政策学习，提高思想认识。组织相关人员认真学习《预算法》等相关法规、制度，进一步提高单位领导对财务管理的思想认识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（三）加强预算执行力度。</w:t>
      </w:r>
    </w:p>
    <w:p w14:paraId="1FE88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按照专项资金类型限定拨付期限，并且加快督促项目工程的实施和验收，完善财务报账手续，防止项目资金滞留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B363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）完善资产管理，抓好“三公”经费控制。</w:t>
      </w:r>
    </w:p>
    <w:p w14:paraId="58263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严格编制政府采购年初预算和计划，规范各类资产的购置审批、采购、使用管理、处置和报废、管理岗位职责等制度，加强单位内部的资产管理工作。严格控制“三公”经费的规模和比例，把关“三公”经费支出的审核、审批，杜绝挪用和挤占其他预算资金行为。</w:t>
      </w:r>
    </w:p>
    <w:p w14:paraId="5137F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（五）科学性规划</w:t>
      </w:r>
    </w:p>
    <w:p w14:paraId="22DA1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合理安排会计岗位，增加业务知识培训，加强决算工作与账务处理工作衔接。合理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增加预算，增加乡村振兴、环境卫生整治、信访维稳、安全生产、防溺水等专项工作经费。</w:t>
      </w:r>
    </w:p>
    <w:p w14:paraId="06073370">
      <w:pPr>
        <w:pStyle w:val="7"/>
        <w:rPr>
          <w:rFonts w:hint="eastAsia"/>
          <w:lang w:eastAsia="zh-CN"/>
        </w:rPr>
      </w:pPr>
    </w:p>
    <w:p w14:paraId="05F8330D">
      <w:pPr>
        <w:rPr>
          <w:rFonts w:hint="eastAsia"/>
        </w:rPr>
      </w:pPr>
    </w:p>
    <w:p w14:paraId="439EE9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隆回县羊古坳镇人民政府</w:t>
      </w:r>
    </w:p>
    <w:p w14:paraId="445A6F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2025年4月27日</w:t>
      </w:r>
    </w:p>
    <w:p w14:paraId="2247D0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9B49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A07EE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BC2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报告应包括以下附件：</w:t>
      </w:r>
    </w:p>
    <w:p w14:paraId="6A51670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606314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08937589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6C2FA0E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665F87A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11DEF70F">
      <w:pPr>
        <w:pStyle w:val="7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9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14:paraId="4D0D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18F47A2F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2552FCE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隆回县羊古坳镇人民政府</w:t>
            </w:r>
          </w:p>
        </w:tc>
      </w:tr>
      <w:tr w14:paraId="5055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 w14:paraId="4E2D61D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24D86E9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06BA32E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3D23138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42C4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6472310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2305034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099" w:type="dxa"/>
            <w:gridSpan w:val="2"/>
            <w:vAlign w:val="center"/>
          </w:tcPr>
          <w:p w14:paraId="7A3B02C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38" w:type="dxa"/>
            <w:gridSpan w:val="2"/>
            <w:vAlign w:val="center"/>
          </w:tcPr>
          <w:p w14:paraId="4AE90991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103.70%</w:t>
            </w:r>
          </w:p>
        </w:tc>
      </w:tr>
      <w:tr w14:paraId="5902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2B2892E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7AFD877B"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667B0274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7D9AF9B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728F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55FE8971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49A6487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8.89</w:t>
            </w:r>
          </w:p>
        </w:tc>
        <w:tc>
          <w:tcPr>
            <w:tcW w:w="2099" w:type="dxa"/>
            <w:gridSpan w:val="2"/>
            <w:vAlign w:val="center"/>
          </w:tcPr>
          <w:p w14:paraId="4458EE61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838" w:type="dxa"/>
            <w:gridSpan w:val="2"/>
            <w:vAlign w:val="center"/>
          </w:tcPr>
          <w:p w14:paraId="682D7C0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2.54</w:t>
            </w:r>
          </w:p>
        </w:tc>
      </w:tr>
      <w:tr w14:paraId="3AA4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3280DDB9">
            <w:pPr>
              <w:pStyle w:val="7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51BC1E82"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6A717C9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3.89</w:t>
            </w:r>
          </w:p>
        </w:tc>
        <w:tc>
          <w:tcPr>
            <w:tcW w:w="2099" w:type="dxa"/>
            <w:gridSpan w:val="2"/>
            <w:vAlign w:val="center"/>
          </w:tcPr>
          <w:p w14:paraId="38FA8191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14:paraId="1A3488F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63C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4B5B5AC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5987C2E0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3EFABB5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61236F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4E4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030945D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39428F5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3.89</w:t>
            </w:r>
          </w:p>
        </w:tc>
        <w:tc>
          <w:tcPr>
            <w:tcW w:w="2099" w:type="dxa"/>
            <w:gridSpan w:val="2"/>
            <w:vAlign w:val="center"/>
          </w:tcPr>
          <w:p w14:paraId="466AF1E8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14:paraId="07C4C7A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07B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5F5BCDCF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3236BF1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3ED14B0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759513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390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14B982FE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5C2BD18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099" w:type="dxa"/>
            <w:gridSpan w:val="2"/>
            <w:vAlign w:val="center"/>
          </w:tcPr>
          <w:p w14:paraId="33E7286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838" w:type="dxa"/>
            <w:gridSpan w:val="2"/>
            <w:vAlign w:val="center"/>
          </w:tcPr>
          <w:p w14:paraId="43DED15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2.54</w:t>
            </w:r>
          </w:p>
        </w:tc>
      </w:tr>
      <w:tr w14:paraId="4107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0A92338C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项目支出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：</w:t>
            </w:r>
          </w:p>
        </w:tc>
        <w:tc>
          <w:tcPr>
            <w:tcW w:w="1933" w:type="dxa"/>
            <w:gridSpan w:val="2"/>
            <w:vAlign w:val="center"/>
          </w:tcPr>
          <w:p w14:paraId="0D143820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172.84</w:t>
            </w:r>
          </w:p>
        </w:tc>
        <w:tc>
          <w:tcPr>
            <w:tcW w:w="2099" w:type="dxa"/>
            <w:gridSpan w:val="2"/>
            <w:vAlign w:val="center"/>
          </w:tcPr>
          <w:p w14:paraId="4BCACAB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565.8</w:t>
            </w:r>
          </w:p>
        </w:tc>
        <w:tc>
          <w:tcPr>
            <w:tcW w:w="1838" w:type="dxa"/>
            <w:gridSpan w:val="2"/>
            <w:vAlign w:val="center"/>
          </w:tcPr>
          <w:p w14:paraId="531AD29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565.16</w:t>
            </w:r>
          </w:p>
        </w:tc>
      </w:tr>
      <w:tr w14:paraId="699F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676591B6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1F45DE70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099" w:type="dxa"/>
            <w:gridSpan w:val="2"/>
            <w:vAlign w:val="center"/>
          </w:tcPr>
          <w:p w14:paraId="51F6B9D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6A8C5A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401</w:t>
            </w:r>
          </w:p>
        </w:tc>
      </w:tr>
      <w:tr w14:paraId="525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791DE6F1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2344CDB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151.84</w:t>
            </w:r>
          </w:p>
        </w:tc>
        <w:tc>
          <w:tcPr>
            <w:tcW w:w="2099" w:type="dxa"/>
            <w:gridSpan w:val="2"/>
            <w:vAlign w:val="center"/>
          </w:tcPr>
          <w:p w14:paraId="4CD1BE6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565.8</w:t>
            </w:r>
          </w:p>
        </w:tc>
        <w:tc>
          <w:tcPr>
            <w:tcW w:w="1838" w:type="dxa"/>
            <w:gridSpan w:val="2"/>
            <w:vAlign w:val="center"/>
          </w:tcPr>
          <w:p w14:paraId="08F178D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164.16</w:t>
            </w:r>
          </w:p>
        </w:tc>
      </w:tr>
      <w:tr w14:paraId="7B38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0" w:type="dxa"/>
            <w:vAlign w:val="center"/>
          </w:tcPr>
          <w:p w14:paraId="6BA1EB4A">
            <w:pPr>
              <w:pStyle w:val="7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6105ED5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B91275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C4E0C5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F69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5F7E2B4A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5042DAC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203.65</w:t>
            </w:r>
          </w:p>
        </w:tc>
        <w:tc>
          <w:tcPr>
            <w:tcW w:w="2099" w:type="dxa"/>
            <w:gridSpan w:val="2"/>
            <w:vAlign w:val="center"/>
          </w:tcPr>
          <w:p w14:paraId="5F499015"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110.70</w:t>
            </w:r>
          </w:p>
        </w:tc>
        <w:tc>
          <w:tcPr>
            <w:tcW w:w="1838" w:type="dxa"/>
            <w:gridSpan w:val="2"/>
            <w:vAlign w:val="center"/>
          </w:tcPr>
          <w:p w14:paraId="18291BC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434.85</w:t>
            </w:r>
          </w:p>
        </w:tc>
      </w:tr>
      <w:tr w14:paraId="5F5A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6C6FFE9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0E7C2BD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9.48</w:t>
            </w:r>
          </w:p>
        </w:tc>
        <w:tc>
          <w:tcPr>
            <w:tcW w:w="2099" w:type="dxa"/>
            <w:gridSpan w:val="2"/>
            <w:vAlign w:val="center"/>
          </w:tcPr>
          <w:p w14:paraId="5BF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838" w:type="dxa"/>
            <w:gridSpan w:val="2"/>
            <w:vAlign w:val="center"/>
          </w:tcPr>
          <w:p w14:paraId="5421ABAE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30.93</w:t>
            </w:r>
          </w:p>
        </w:tc>
      </w:tr>
      <w:tr w14:paraId="2A8F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159D8CB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2379A93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31.73</w:t>
            </w:r>
          </w:p>
        </w:tc>
        <w:tc>
          <w:tcPr>
            <w:tcW w:w="2099" w:type="dxa"/>
            <w:gridSpan w:val="2"/>
            <w:vAlign w:val="center"/>
          </w:tcPr>
          <w:p w14:paraId="3F126216"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838" w:type="dxa"/>
            <w:gridSpan w:val="2"/>
            <w:vAlign w:val="center"/>
          </w:tcPr>
          <w:p w14:paraId="2EAC042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35.74</w:t>
            </w:r>
          </w:p>
        </w:tc>
      </w:tr>
      <w:tr w14:paraId="4B27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559EA07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798C73BD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4.80</w:t>
            </w:r>
          </w:p>
        </w:tc>
        <w:tc>
          <w:tcPr>
            <w:tcW w:w="2099" w:type="dxa"/>
            <w:gridSpan w:val="2"/>
            <w:vAlign w:val="center"/>
          </w:tcPr>
          <w:p w14:paraId="4ED2A0CF"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838" w:type="dxa"/>
            <w:gridSpan w:val="2"/>
            <w:vAlign w:val="center"/>
          </w:tcPr>
          <w:p w14:paraId="0265D440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6.22</w:t>
            </w:r>
          </w:p>
        </w:tc>
      </w:tr>
      <w:tr w14:paraId="33D9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2EAB5C9B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73F0B7F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54.36</w:t>
            </w:r>
          </w:p>
        </w:tc>
        <w:tc>
          <w:tcPr>
            <w:tcW w:w="2099" w:type="dxa"/>
            <w:gridSpan w:val="2"/>
            <w:vAlign w:val="center"/>
          </w:tcPr>
          <w:p w14:paraId="4E284F06"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38" w:type="dxa"/>
            <w:gridSpan w:val="2"/>
            <w:vAlign w:val="center"/>
          </w:tcPr>
          <w:p w14:paraId="44AC674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104.20</w:t>
            </w:r>
          </w:p>
        </w:tc>
      </w:tr>
      <w:tr w14:paraId="35E9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0A46D3F3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2D527623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1658.82</w:t>
            </w:r>
          </w:p>
        </w:tc>
        <w:tc>
          <w:tcPr>
            <w:tcW w:w="2099" w:type="dxa"/>
            <w:gridSpan w:val="2"/>
            <w:vAlign w:val="center"/>
          </w:tcPr>
          <w:p w14:paraId="4DEA35CC">
            <w:pPr>
              <w:pStyle w:val="7"/>
              <w:ind w:left="0" w:leftChars="0" w:firstLine="540" w:firstLineChars="300"/>
              <w:jc w:val="both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1018.45</w:t>
            </w:r>
          </w:p>
        </w:tc>
        <w:tc>
          <w:tcPr>
            <w:tcW w:w="1838" w:type="dxa"/>
            <w:gridSpan w:val="2"/>
            <w:vAlign w:val="center"/>
          </w:tcPr>
          <w:p w14:paraId="6A1271C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1728.30</w:t>
            </w:r>
          </w:p>
        </w:tc>
      </w:tr>
      <w:tr w14:paraId="59FA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 w14:paraId="7C22B071">
            <w:pPr>
              <w:pStyle w:val="7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15F9FA01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230D57EF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03142909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15924C73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3E0F980F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085C452C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12F1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09D604D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D8107C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203F534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6B01D40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6E8430C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32D5883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1B9E0BE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60E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37B2CA45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509CF31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326BE234"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27A5E5E5">
      <w:pPr>
        <w:pStyle w:val="7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73440774">
      <w:pPr>
        <w:pStyle w:val="7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2D443116">
      <w:pPr>
        <w:pStyle w:val="7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>胡女士 填报日期：2025.4.28 联系电话：188****8631 单位负责人签字：赵先生</w:t>
      </w:r>
    </w:p>
    <w:p w14:paraId="47F68380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76C71F1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DFA51BB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C6CDD1E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739"/>
        <w:gridCol w:w="1374"/>
      </w:tblGrid>
      <w:tr w14:paraId="3E5D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5AC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A0E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隆回县羊古坳镇人民政府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A5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34FA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157B83F8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04B2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CDED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9650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156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3770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DF8D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6F0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3E17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80D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CEED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2FEB"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1584.25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F018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  <w:lang w:val="en-US" w:eastAsia="zh-CN"/>
              </w:rPr>
              <w:t>2293.46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132C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  <w:lang w:val="en-US" w:eastAsia="zh-CN"/>
              </w:rPr>
              <w:t>2293.46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5CED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A9C8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F63B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7A5C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373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F6B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994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2593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9AD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71C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1843.14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C0CB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1728.30</w:t>
            </w:r>
          </w:p>
        </w:tc>
      </w:tr>
      <w:tr w14:paraId="1129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838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AC89"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AE1E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565.16</w:t>
            </w:r>
          </w:p>
        </w:tc>
      </w:tr>
      <w:tr w14:paraId="148B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A2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9CC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BBA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67A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CE7FD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55F3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445.32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990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221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6922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28F0F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FA5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430A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F97C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D9A42">
            <w:pPr>
              <w:spacing w:line="240" w:lineRule="exact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根据预算安排，合理安排各项支出，保障基本支出和正常工作运转，高质量完成项目预期目标。推进乡镇城镇化建设，促进本地域经济发展和基础设施设施建设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E750">
            <w:pPr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根据预算安排，合理安排各项支出，保障基本支出和正常工作运转，高质量完成项目预期目标。推进乡镇城镇化建设，促进本地域经济发展和基础设施建设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 w14:paraId="43A10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A35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AF4EF6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4A56B4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31B10E9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A02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A20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7B3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D46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65B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7A9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99D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068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EF2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A5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CF9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3C8A0DD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85F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4461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宣传活动次数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75E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413E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DBF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779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AA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46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C0C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39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C04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A7D8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“三公经费”控制率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643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≤100%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E20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23.09%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BB3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196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公车由于已处置报废，镇里无公车，故公务用车购置和维护经费支出为0</w:t>
            </w:r>
          </w:p>
        </w:tc>
      </w:tr>
      <w:tr w14:paraId="50E3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6B7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AC0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193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BC78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预算调整率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82E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≤30%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34B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44.76%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EF8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96D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非同级财政拨款收入纳入决算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6B7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9B8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8C1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1E7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6FC8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541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260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753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9E2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77D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7BE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02C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577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CD1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0CFE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283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C61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2A7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146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A79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D3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16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0E6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68E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083E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实施进度和完成质量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A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B7D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85F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A45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15C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69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035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B6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063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F025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重点工作完成时间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2B9E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2024年12月底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F1E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2EB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E1F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DF7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3B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4E9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94C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53E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5DDD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经济成本控制率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D69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3B0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D56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27A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C3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0A0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F3A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E3C3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7667D320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D10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384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村级集体经济收入和监测户、脱贫户家庭收入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52B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显著增收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1C8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增收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205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E5F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365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3A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99C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0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73E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ED1E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政府服务能力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313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EA7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D30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6170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F6F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D935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52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B56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684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EB9B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自然环境和生态环境发展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A97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5A5A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3F9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DB15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D28C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D9E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C39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79C20FE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1E40137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597B6A1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02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FDD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45C7E86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AD17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群众环境保护意识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15A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大幅度提高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51D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9BC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533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群众环境保护意识还有待进一步加强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3C34F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79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453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672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2780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职工满意度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82C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F2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5F6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6D9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C14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33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946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3D1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B6F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15DD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874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186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527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7F2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AFE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A7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1D90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91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839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8A4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4789836F">
      <w:pPr>
        <w:spacing w:line="600" w:lineRule="exact"/>
        <w:jc w:val="left"/>
        <w:rPr>
          <w:rFonts w:hint="eastAsia" w:ascii="仿宋" w:hAnsi="仿宋" w:eastAsia="仿宋_GB2312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>胡女士 填报日期：2025.4.28 联系电话：18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>8****8631 单位负责人签字：赵先生</w:t>
      </w: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76B601-4EC4-428A-BF90-55FB0FE7E2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103A52-6793-4ADA-8D1C-2CB68BC6C26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87E7FA2-DD85-4687-8104-7194B0AB05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E89545-1855-4725-9123-80B269C96C60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5" w:fontKey="{E2544BE0-3537-4A45-A141-6AD5A61666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5CD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F39C8">
                          <w:pPr>
                            <w:pStyle w:val="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F39C8">
                    <w:pPr>
                      <w:pStyle w:val="5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C02B"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092496CF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F27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E5B668"/>
    <w:multiLevelType w:val="singleLevel"/>
    <w:tmpl w:val="ECE5B6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F016BC9"/>
    <w:multiLevelType w:val="singleLevel"/>
    <w:tmpl w:val="2F016BC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WQ5OGViYzQ1NzhkZjA0YjZkYWE2NWU3MDc3YWQ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1E451D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705B7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0E2C3D"/>
    <w:rsid w:val="0A40746F"/>
    <w:rsid w:val="0A6273E5"/>
    <w:rsid w:val="0A686BF6"/>
    <w:rsid w:val="0AD96F7B"/>
    <w:rsid w:val="0AE24082"/>
    <w:rsid w:val="0AEF43A2"/>
    <w:rsid w:val="0B1D155E"/>
    <w:rsid w:val="0B301291"/>
    <w:rsid w:val="0BC65752"/>
    <w:rsid w:val="0C6B6720"/>
    <w:rsid w:val="0C760F26"/>
    <w:rsid w:val="0C992E66"/>
    <w:rsid w:val="0C9E6D20"/>
    <w:rsid w:val="0CBD4DA7"/>
    <w:rsid w:val="0CC779D3"/>
    <w:rsid w:val="0CDD2D53"/>
    <w:rsid w:val="0D766D04"/>
    <w:rsid w:val="0DD74424"/>
    <w:rsid w:val="0DFD6257"/>
    <w:rsid w:val="0E8F2773"/>
    <w:rsid w:val="0F31382A"/>
    <w:rsid w:val="0F3D21CF"/>
    <w:rsid w:val="0FF24D67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06CFD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5E11A89"/>
    <w:rsid w:val="167504A0"/>
    <w:rsid w:val="16A42B33"/>
    <w:rsid w:val="16BF6855"/>
    <w:rsid w:val="1711641B"/>
    <w:rsid w:val="17233A58"/>
    <w:rsid w:val="174148B4"/>
    <w:rsid w:val="1767588B"/>
    <w:rsid w:val="176D1177"/>
    <w:rsid w:val="18383533"/>
    <w:rsid w:val="184E2D57"/>
    <w:rsid w:val="188E4670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CF6E73"/>
    <w:rsid w:val="1FDB75C6"/>
    <w:rsid w:val="1FED10A7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1651CF"/>
    <w:rsid w:val="23250B58"/>
    <w:rsid w:val="23543F83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BA80578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E634E4E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23599A"/>
    <w:rsid w:val="3A754CC9"/>
    <w:rsid w:val="3A771FCA"/>
    <w:rsid w:val="3B082DE1"/>
    <w:rsid w:val="3B4A51A8"/>
    <w:rsid w:val="3B563B4D"/>
    <w:rsid w:val="3BC46D08"/>
    <w:rsid w:val="3BDC6748"/>
    <w:rsid w:val="3BEA370A"/>
    <w:rsid w:val="3C6B3628"/>
    <w:rsid w:val="3D891FB8"/>
    <w:rsid w:val="3DB66B25"/>
    <w:rsid w:val="3DCE3E6E"/>
    <w:rsid w:val="3DFE0BF8"/>
    <w:rsid w:val="3E030FFE"/>
    <w:rsid w:val="3E3A69A0"/>
    <w:rsid w:val="3E5A3954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5433394"/>
    <w:rsid w:val="46222FA9"/>
    <w:rsid w:val="463603F1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2429E0"/>
    <w:rsid w:val="4ACB3631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9702AC"/>
    <w:rsid w:val="4EA87052"/>
    <w:rsid w:val="4EDF237F"/>
    <w:rsid w:val="4F3B1723"/>
    <w:rsid w:val="4F702FD7"/>
    <w:rsid w:val="4F7A3E56"/>
    <w:rsid w:val="4F8627FB"/>
    <w:rsid w:val="4FA462B3"/>
    <w:rsid w:val="4FE65048"/>
    <w:rsid w:val="4FE6773D"/>
    <w:rsid w:val="50192406"/>
    <w:rsid w:val="5039786D"/>
    <w:rsid w:val="506348EA"/>
    <w:rsid w:val="507028FD"/>
    <w:rsid w:val="507C62DD"/>
    <w:rsid w:val="508D1967"/>
    <w:rsid w:val="50B20CEB"/>
    <w:rsid w:val="50CC03FE"/>
    <w:rsid w:val="50E517A3"/>
    <w:rsid w:val="5167040A"/>
    <w:rsid w:val="521B32F6"/>
    <w:rsid w:val="521E54EC"/>
    <w:rsid w:val="522E2CD6"/>
    <w:rsid w:val="527E3C5D"/>
    <w:rsid w:val="534A165D"/>
    <w:rsid w:val="534C5B09"/>
    <w:rsid w:val="545D5AF4"/>
    <w:rsid w:val="547370C6"/>
    <w:rsid w:val="54CF07A0"/>
    <w:rsid w:val="55164621"/>
    <w:rsid w:val="552F2E36"/>
    <w:rsid w:val="558D41B7"/>
    <w:rsid w:val="55C51BA3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8E83E5E"/>
    <w:rsid w:val="590C2379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CEE7C31"/>
    <w:rsid w:val="5D415FB3"/>
    <w:rsid w:val="5D6C7344"/>
    <w:rsid w:val="5E007C1C"/>
    <w:rsid w:val="5E5E5BE2"/>
    <w:rsid w:val="5EA551F5"/>
    <w:rsid w:val="5F337B7D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7B3D3C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3E546DB"/>
    <w:rsid w:val="641A755E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4921F4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1F1F6C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B55DC4"/>
    <w:rsid w:val="6FD902CD"/>
    <w:rsid w:val="6FF005A6"/>
    <w:rsid w:val="70C60851"/>
    <w:rsid w:val="70C64CF5"/>
    <w:rsid w:val="714F6A99"/>
    <w:rsid w:val="71DB032D"/>
    <w:rsid w:val="71F0075E"/>
    <w:rsid w:val="720553A9"/>
    <w:rsid w:val="723637B5"/>
    <w:rsid w:val="724265FE"/>
    <w:rsid w:val="73301622"/>
    <w:rsid w:val="7343262D"/>
    <w:rsid w:val="738B5D82"/>
    <w:rsid w:val="74324450"/>
    <w:rsid w:val="743957DE"/>
    <w:rsid w:val="744523C5"/>
    <w:rsid w:val="745037BC"/>
    <w:rsid w:val="7460720F"/>
    <w:rsid w:val="7463506E"/>
    <w:rsid w:val="74A40EAA"/>
    <w:rsid w:val="74FA6D1C"/>
    <w:rsid w:val="767C2482"/>
    <w:rsid w:val="77737259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C3D2EE0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4038</Words>
  <Characters>4432</Characters>
  <Lines>0</Lines>
  <Paragraphs>0</Paragraphs>
  <TotalTime>0</TotalTime>
  <ScaleCrop>false</ScaleCrop>
  <LinksUpToDate>false</LinksUpToDate>
  <CharactersWithSpaces>4502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WPS_1337398991</cp:lastModifiedBy>
  <cp:lastPrinted>2024-05-27T09:23:00Z</cp:lastPrinted>
  <dcterms:modified xsi:type="dcterms:W3CDTF">2025-10-14T03:47:22Z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1A7791BB88884BBCB598C9FBD9BBF1E0_13</vt:lpwstr>
  </property>
  <property fmtid="{D5CDD505-2E9C-101B-9397-08002B2CF9AE}" pid="4" name="KSOTemplateDocerSaveRecord">
    <vt:lpwstr>eyJoZGlkIjoiMDg4MTYxMjkyNzlkN2E5ODA3Y2RkYzE3NDgxOTFmYjQiLCJ1c2VySWQiOiIxMzM3Mzk4OTkxIn0=</vt:lpwstr>
  </property>
</Properties>
</file>