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0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709"/>
        <w:gridCol w:w="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2021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103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隆回县住房保障服务中心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466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22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5062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）宣传、贯彻和执行国家、省、市关于住房保障工作的法律法规和方针政策，参与拟定全县住房保障政策、年度计划和规范性文件；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eastAsia="zh-CN"/>
              </w:rPr>
              <w:t>）参与组织实施全县保障性住房、城市棚户区（含国有工矿棚户区）改造发展规划和年度计划；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）承担县城区政府投资的公共租赁住房的筹集、分配、管理、维修维护等后续管理的事务性工作；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）承担县城区公共租赁住房保障对象审核登记、动态管理和县城区公共租赁住房补贴审核与发放等事务性工作；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）承担组织全县保障性安居工程计划项目申报的事务性工作;配合做好县保障性安居工程专项补助金分配和拨付工作；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）承担县城棚户区和老旧小区改造等具体工作；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）承担全县房屋专项维修资金归集、管理和使用等具体工作；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）承担全县白蚁防治和灭治工作；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）受理保障性安居工程方面的来信来访；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）完成县委、县政府和县住房和城乡建设局（人民防空办公室）交办的其他任务。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572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340.88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4241.68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55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3845.8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55</w:t>
            </w:r>
          </w:p>
        </w:tc>
        <w:tc>
          <w:tcPr>
            <w:tcW w:w="4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56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528.48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5341.84</w:t>
            </w:r>
          </w:p>
        </w:tc>
        <w:tc>
          <w:tcPr>
            <w:tcW w:w="49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5870.32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708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0.23</w:t>
            </w:r>
          </w:p>
        </w:tc>
        <w:tc>
          <w:tcPr>
            <w:tcW w:w="1559" w:type="dxa"/>
            <w:gridSpan w:val="3"/>
            <w:vMerge w:val="continue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81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143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112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814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100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100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174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2022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99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99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128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是□否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561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1541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tbl>
            <w:tblPr>
              <w:tblStyle w:val="7"/>
              <w:tblW w:w="8795" w:type="dxa"/>
              <w:tblInd w:w="-23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62" w:hRule="atLeast"/>
              </w:trPr>
              <w:tc>
                <w:tcPr>
                  <w:tcW w:w="879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numPr>
                      <w:ilvl w:val="0"/>
                      <w:numId w:val="1"/>
                    </w:numPr>
                    <w:spacing w:line="540" w:lineRule="exact"/>
                    <w:ind w:firstLine="636" w:firstLineChars="198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</w:rPr>
                    <w:t>强化</w:t>
                  </w:r>
                  <w: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维修资金</w:t>
                  </w:r>
                  <w: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</w:rPr>
                    <w:t>监管</w:t>
                  </w:r>
                  <w: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力度。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line="540" w:lineRule="exact"/>
                    <w:rPr>
                      <w:rFonts w:hint="eastAsia" w:ascii="仿宋" w:hAnsi="仿宋" w:eastAsia="仿宋" w:cs="仿宋"/>
                      <w:b w:val="0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仿宋" w:hAnsi="仿宋" w:eastAsia="仿宋" w:cs="仿宋"/>
                      <w:b w:val="0"/>
                      <w:bCs/>
                      <w:color w:val="000000"/>
                      <w:sz w:val="24"/>
                      <w:szCs w:val="24"/>
                    </w:rPr>
                    <w:t>2.加强</w:t>
                  </w:r>
                  <w:r>
                    <w:rPr>
                      <w:rFonts w:hint="eastAsia" w:ascii="仿宋" w:hAnsi="仿宋" w:eastAsia="仿宋" w:cs="仿宋"/>
                      <w:b w:val="0"/>
                      <w:bCs/>
                      <w:color w:val="000000"/>
                      <w:sz w:val="24"/>
                      <w:szCs w:val="24"/>
                      <w:lang w:eastAsia="zh-CN"/>
                    </w:rPr>
                    <w:t>白蚁防治</w:t>
                  </w:r>
                  <w:r>
                    <w:rPr>
                      <w:rFonts w:hint="eastAsia" w:ascii="仿宋" w:hAnsi="仿宋" w:eastAsia="仿宋" w:cs="仿宋"/>
                      <w:b w:val="0"/>
                      <w:bCs/>
                      <w:color w:val="000000"/>
                      <w:sz w:val="24"/>
                      <w:szCs w:val="24"/>
                    </w:rPr>
                    <w:t>管理工作力度。</w:t>
                  </w:r>
                </w:p>
                <w:p>
                  <w:pPr>
                    <w:spacing w:line="540" w:lineRule="exact"/>
                    <w:rPr>
                      <w:rFonts w:hint="eastAsia" w:ascii="仿宋" w:hAnsi="仿宋" w:eastAsia="仿宋" w:cs="仿宋"/>
                      <w:b w:val="0"/>
                      <w:bCs/>
                      <w:color w:val="000000"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 xml:space="preserve">    3、</w:t>
                  </w:r>
                  <w:r>
                    <w:rPr>
                      <w:rFonts w:hint="eastAsia" w:ascii="仿宋" w:hAnsi="仿宋" w:eastAsia="仿宋" w:cs="仿宋"/>
                      <w:b w:val="0"/>
                      <w:bCs/>
                      <w:color w:val="000000"/>
                      <w:sz w:val="24"/>
                      <w:szCs w:val="24"/>
                    </w:rPr>
                    <w:t>突出重点，以民生实事为根本，做好住房保障</w:t>
                  </w:r>
                  <w:r>
                    <w:rPr>
                      <w:rFonts w:hint="eastAsia" w:ascii="仿宋" w:hAnsi="仿宋" w:eastAsia="仿宋" w:cs="仿宋"/>
                      <w:b w:val="0"/>
                      <w:bCs/>
                      <w:color w:val="000000"/>
                      <w:sz w:val="24"/>
                      <w:szCs w:val="24"/>
                      <w:lang w:eastAsia="zh-CN"/>
                    </w:rPr>
                    <w:t>、老旧小区改造</w:t>
                  </w:r>
                  <w:r>
                    <w:rPr>
                      <w:rFonts w:hint="eastAsia" w:ascii="仿宋" w:hAnsi="仿宋" w:eastAsia="仿宋" w:cs="仿宋"/>
                      <w:b w:val="0"/>
                      <w:bCs/>
                      <w:color w:val="000000"/>
                      <w:sz w:val="24"/>
                      <w:szCs w:val="24"/>
                    </w:rPr>
                    <w:t>工作</w:t>
                  </w:r>
                  <w:r>
                    <w:rPr>
                      <w:rFonts w:hint="eastAsia" w:ascii="仿宋" w:hAnsi="仿宋" w:eastAsia="仿宋" w:cs="仿宋"/>
                      <w:b w:val="0"/>
                      <w:bCs/>
                      <w:color w:val="000000"/>
                      <w:sz w:val="30"/>
                      <w:szCs w:val="30"/>
                    </w:rPr>
                    <w:t>。</w:t>
                  </w:r>
                </w:p>
                <w:p>
                  <w:pPr>
                    <w:ind w:firstLine="105" w:firstLineChars="50"/>
                    <w:rPr>
                      <w:rFonts w:hint="eastAsia" w:ascii="楷体" w:hAnsi="楷体" w:eastAsia="楷体" w:cs="楷体"/>
                      <w:szCs w:val="21"/>
                      <w:lang w:val="en-US" w:eastAsia="zh-CN"/>
                    </w:rPr>
                  </w:pPr>
                </w:p>
              </w:tc>
            </w:tr>
          </w:tbl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2160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1534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6" w:afterAutospacing="0" w:line="390" w:lineRule="atLeast"/>
              <w:ind w:left="0" w:right="0" w:firstLine="4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  <w:t>固定资产核算欠规范、管理水平有待提高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6" w:afterAutospacing="0" w:line="390" w:lineRule="atLeast"/>
              <w:ind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  <w:t>　目前，本系统固定资产损毁严重，可能造成资产台账与账面资产金额存在差异，固定资产管理有待加强。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6" w:afterAutospacing="0" w:line="390" w:lineRule="atLeast"/>
              <w:ind w:left="0" w:right="0" w:firstLine="4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  <w:t>内控管理制度有待完善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  <w:t>目前，我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eastAsia="zh-CN"/>
              </w:rPr>
              <w:t>中心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  <w:t>根据省、市、县财务管理制度、“三公经费”要求，制订较为健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  <w:t>全的内控制度，但离上级的要求还有一定差距，有待进一步完善。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1974" w:hRule="atLeast"/>
          <w:jc w:val="center"/>
        </w:trPr>
        <w:tc>
          <w:tcPr>
            <w:tcW w:w="533" w:type="dxa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eastAsia="zh-CN"/>
        </w:rPr>
        <w:t>何丽衡</w:t>
      </w:r>
      <w:r>
        <w:rPr>
          <w:rFonts w:ascii="宋体" w:hAnsi="宋体"/>
          <w:szCs w:val="21"/>
        </w:rPr>
        <w:t xml:space="preserve">            </w:t>
      </w:r>
      <w:r>
        <w:rPr>
          <w:rFonts w:hint="eastAsia" w:ascii="宋体" w:hAnsi="宋体"/>
          <w:szCs w:val="21"/>
        </w:rPr>
        <w:t>联系电话：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8232244</w:t>
      </w:r>
      <w:r>
        <w:rPr>
          <w:rFonts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>时间：</w:t>
      </w:r>
      <w:r>
        <w:rPr>
          <w:rFonts w:hint="eastAsia" w:ascii="宋体" w:hAnsi="宋体"/>
          <w:szCs w:val="21"/>
          <w:lang w:val="en-US" w:eastAsia="zh-CN"/>
        </w:rPr>
        <w:t>2022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20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pStyle w:val="2"/>
        <w:rPr>
          <w:rFonts w:ascii="黑体" w:hAnsi="宋体" w:eastAsia="黑体" w:cs="宋体"/>
          <w:kern w:val="0"/>
          <w:sz w:val="32"/>
          <w:szCs w:val="32"/>
        </w:rPr>
      </w:pPr>
    </w:p>
    <w:p>
      <w:pPr>
        <w:pStyle w:val="2"/>
        <w:rPr>
          <w:rFonts w:ascii="黑体" w:hAnsi="宋体" w:eastAsia="黑体" w:cs="宋体"/>
          <w:kern w:val="0"/>
          <w:sz w:val="32"/>
          <w:szCs w:val="32"/>
        </w:rPr>
      </w:pPr>
    </w:p>
    <w:p>
      <w:pPr>
        <w:pStyle w:val="2"/>
        <w:rPr>
          <w:rFonts w:ascii="黑体" w:hAnsi="宋体" w:eastAsia="黑体" w:cs="宋体"/>
          <w:kern w:val="0"/>
          <w:sz w:val="32"/>
          <w:szCs w:val="32"/>
        </w:rPr>
      </w:pPr>
    </w:p>
    <w:p>
      <w:pPr>
        <w:pStyle w:val="2"/>
        <w:rPr>
          <w:rFonts w:ascii="黑体" w:hAnsi="宋体" w:eastAsia="黑体" w:cs="宋体"/>
          <w:kern w:val="0"/>
          <w:sz w:val="32"/>
          <w:szCs w:val="32"/>
        </w:rPr>
      </w:pPr>
    </w:p>
    <w:p>
      <w:pPr>
        <w:pStyle w:val="2"/>
        <w:rPr>
          <w:rFonts w:ascii="黑体" w:hAnsi="宋体" w:eastAsia="黑体" w:cs="宋体"/>
          <w:kern w:val="0"/>
          <w:sz w:val="32"/>
          <w:szCs w:val="32"/>
        </w:rPr>
      </w:pPr>
    </w:p>
    <w:p>
      <w:pPr>
        <w:pStyle w:val="2"/>
        <w:rPr>
          <w:rFonts w:ascii="黑体" w:hAnsi="宋体" w:eastAsia="黑体" w:cs="宋体"/>
          <w:kern w:val="0"/>
          <w:sz w:val="32"/>
          <w:szCs w:val="32"/>
        </w:rPr>
      </w:pPr>
    </w:p>
    <w:p>
      <w:pPr>
        <w:pStyle w:val="2"/>
        <w:rPr>
          <w:rFonts w:ascii="黑体" w:hAnsi="宋体" w:eastAsia="黑体" w:cs="宋体"/>
          <w:kern w:val="0"/>
          <w:sz w:val="32"/>
          <w:szCs w:val="32"/>
        </w:rPr>
      </w:pPr>
    </w:p>
    <w:p>
      <w:pPr>
        <w:pStyle w:val="2"/>
        <w:rPr>
          <w:rFonts w:ascii="黑体" w:hAnsi="宋体" w:eastAsia="黑体" w:cs="宋体"/>
          <w:kern w:val="0"/>
          <w:sz w:val="32"/>
          <w:szCs w:val="32"/>
        </w:rPr>
      </w:pPr>
    </w:p>
    <w:p>
      <w:pPr>
        <w:pStyle w:val="2"/>
        <w:rPr>
          <w:rFonts w:ascii="黑体" w:hAnsi="宋体" w:eastAsia="黑体" w:cs="宋体"/>
          <w:kern w:val="0"/>
          <w:sz w:val="32"/>
          <w:szCs w:val="32"/>
        </w:rPr>
      </w:pPr>
    </w:p>
    <w:p>
      <w:pPr>
        <w:pStyle w:val="2"/>
        <w:rPr>
          <w:rFonts w:ascii="黑体" w:hAnsi="宋体" w:eastAsia="黑体" w:cs="宋体"/>
          <w:kern w:val="0"/>
          <w:sz w:val="32"/>
          <w:szCs w:val="32"/>
        </w:rPr>
      </w:pPr>
    </w:p>
    <w:p>
      <w:pPr>
        <w:pStyle w:val="2"/>
        <w:rPr>
          <w:rFonts w:ascii="黑体" w:hAnsi="宋体" w:eastAsia="黑体" w:cs="宋体"/>
          <w:kern w:val="0"/>
          <w:sz w:val="32"/>
          <w:szCs w:val="32"/>
        </w:rPr>
      </w:pPr>
    </w:p>
    <w:p>
      <w:pPr>
        <w:pStyle w:val="2"/>
        <w:rPr>
          <w:rFonts w:ascii="黑体" w:hAnsi="宋体" w:eastAsia="黑体" w:cs="宋体"/>
          <w:kern w:val="0"/>
          <w:sz w:val="32"/>
          <w:szCs w:val="32"/>
        </w:rPr>
      </w:pPr>
    </w:p>
    <w:p>
      <w:pPr>
        <w:pStyle w:val="2"/>
        <w:rPr>
          <w:rFonts w:ascii="黑体" w:hAnsi="宋体" w:eastAsia="黑体" w:cs="宋体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after="0" w:line="240" w:lineRule="auto"/>
        <w:ind w:left="0" w:leftChars="0"/>
        <w:jc w:val="center"/>
        <w:textAlignment w:val="auto"/>
        <w:rPr>
          <w:rFonts w:hint="eastAsia" w:ascii="仿宋" w:hAnsi="仿宋" w:eastAsia="仿宋" w:cs="仿宋"/>
          <w:b/>
          <w:bCs w:val="0"/>
          <w:sz w:val="48"/>
          <w:szCs w:val="48"/>
        </w:rPr>
      </w:pPr>
      <w:r>
        <w:rPr>
          <w:rFonts w:hint="eastAsia" w:ascii="仿宋" w:hAnsi="仿宋" w:eastAsia="仿宋" w:cs="仿宋"/>
          <w:b/>
          <w:bCs w:val="0"/>
          <w:sz w:val="48"/>
          <w:szCs w:val="48"/>
          <w:lang w:val="en-US" w:eastAsia="zh-CN"/>
        </w:rPr>
        <w:t>2021年</w:t>
      </w:r>
      <w:r>
        <w:rPr>
          <w:rFonts w:hint="eastAsia" w:ascii="仿宋" w:hAnsi="仿宋" w:eastAsia="仿宋" w:cs="仿宋"/>
          <w:b/>
          <w:bCs w:val="0"/>
          <w:sz w:val="48"/>
          <w:szCs w:val="48"/>
          <w:lang w:eastAsia="zh-CN"/>
        </w:rPr>
        <w:t>隆回县住房保障服务中心</w:t>
      </w:r>
      <w:r>
        <w:rPr>
          <w:rFonts w:hint="eastAsia" w:ascii="仿宋" w:hAnsi="仿宋" w:eastAsia="仿宋" w:cs="仿宋"/>
          <w:b/>
          <w:bCs w:val="0"/>
          <w:sz w:val="48"/>
          <w:szCs w:val="48"/>
        </w:rPr>
        <w:t>部门整体支出绩效自评报告</w:t>
      </w:r>
    </w:p>
    <w:p>
      <w:pPr>
        <w:ind w:firstLine="420" w:firstLine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（一）部门基本情况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706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（一）机构概况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隆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回县住房保障服务中心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为隆回县住房和城乡建设局（人民防空办公室）所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辖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的公益一类全额拨款副科级事业单位。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隆回县住房保障服务中心设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综合部（加挂人力资源部牌子）、财务部、工程事务部、保障性住房事务部、房屋专项维修资金事务部、白蚁防治部、物业管理事务部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个部门。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编制人数为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人，实际人数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45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人，其中在职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32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人，离退休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,遗属补助人员3人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　　（二）部门主要职能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）宣传、贯彻和执行国家、省、市关于住房保障工作的法律法规和方针政策，参与拟定全县住房保障政策、年度计划和规范性文件；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）参与组织实施全县保障性住房、城市棚户区（含国有工矿棚户区）改造发展规划和年度计划；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）承担县城区政府投资的公共租赁住房的筹集、分配、管理、维修维护等后续管理的事务性工作；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）承担县城区公共租赁住房保障对象审核登记、动态管理和县城区公共租赁住房补贴审核与发放等事务性工作；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）承担组织全县保障性安居工程计划项目申报的事务性工作;配合做好县保障性安居工程专项补助金分配和拨付工作；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）承担县城棚户区和老旧小区改造等具体工作；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）承担全县房屋专项维修资金归集、管理和使用等具体工作；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）承担全县白蚁防治和灭治工作；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）受理保障性安居工程方面的来信来访；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）完成县委、县政府和县住房和城乡建设局（人民防空办公室）交办的其</w:t>
      </w:r>
      <w:bookmarkStart w:id="0" w:name="refer_4843551_5060609_13344396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他任务。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hint="eastAsia" w:eastAsia="仿宋_GB2312"/>
          <w:sz w:val="32"/>
          <w:szCs w:val="32"/>
        </w:rPr>
        <w:t>年的重点工作</w:t>
      </w:r>
    </w:p>
    <w:p>
      <w:pPr>
        <w:pStyle w:val="2"/>
        <w:numPr>
          <w:ilvl w:val="0"/>
          <w:numId w:val="2"/>
        </w:numPr>
        <w:rPr>
          <w:rFonts w:hint="eastAsia" w:eastAsia="仿宋_GB2312"/>
          <w:lang w:val="en-US" w:eastAsia="zh-CN"/>
        </w:rPr>
      </w:pPr>
      <w:r>
        <w:rPr>
          <w:rFonts w:hint="eastAsia" w:eastAsia="仿宋_GB2312"/>
          <w:lang w:val="en-US" w:eastAsia="zh-CN"/>
        </w:rPr>
        <w:t>我县城区共实施9个老旧小区改造项目；</w:t>
      </w:r>
    </w:p>
    <w:p>
      <w:pPr>
        <w:pStyle w:val="2"/>
        <w:numPr>
          <w:ilvl w:val="0"/>
          <w:numId w:val="2"/>
        </w:numPr>
        <w:rPr>
          <w:rFonts w:hint="eastAsia" w:eastAsia="仿宋_GB2312"/>
          <w:lang w:val="en-US" w:eastAsia="zh-CN"/>
        </w:rPr>
      </w:pPr>
      <w:r>
        <w:rPr>
          <w:rFonts w:hint="eastAsia" w:eastAsia="仿宋_GB2312"/>
          <w:lang w:val="en-US" w:eastAsia="zh-CN"/>
        </w:rPr>
        <w:t>保障性住房管理工作租赁补贴共发放648户，实物配租1080套；</w:t>
      </w:r>
    </w:p>
    <w:p>
      <w:pPr>
        <w:pStyle w:val="2"/>
        <w:numPr>
          <w:ilvl w:val="0"/>
          <w:numId w:val="2"/>
        </w:numPr>
        <w:rPr>
          <w:rFonts w:hint="eastAsia" w:eastAsia="仿宋_GB2312"/>
          <w:lang w:val="en-US" w:eastAsia="zh-CN"/>
        </w:rPr>
      </w:pPr>
      <w:r>
        <w:rPr>
          <w:rFonts w:hint="eastAsia" w:eastAsia="仿宋_GB2312"/>
          <w:lang w:val="en-US" w:eastAsia="zh-CN"/>
        </w:rPr>
        <w:t>房屋专项维修资金管理工作共归集资金5546万元；</w:t>
      </w:r>
    </w:p>
    <w:p>
      <w:pPr>
        <w:pStyle w:val="2"/>
        <w:numPr>
          <w:ilvl w:val="0"/>
          <w:numId w:val="2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lang w:val="en-US" w:eastAsia="zh-CN"/>
        </w:rPr>
        <w:t>加强队伍建设、明确岗位职责，全面提升辖区物业管理服务。</w:t>
      </w:r>
    </w:p>
    <w:p>
      <w:pPr>
        <w:pStyle w:val="2"/>
        <w:numPr>
          <w:ilvl w:val="0"/>
          <w:numId w:val="0"/>
        </w:num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</w:rPr>
        <w:t>（三）部门整体支出情况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rPr>
          <w:rFonts w:hint="eastAsia" w:eastAsia="仿宋_GB2312"/>
          <w:sz w:val="32"/>
          <w:szCs w:val="32"/>
        </w:rPr>
      </w:pPr>
      <w:r>
        <w:rPr>
          <w:rFonts w:ascii="??_GB2312" w:hAnsi="Times New Roman" w:eastAsia="Times New Roman" w:cs="Times New Roman"/>
          <w:kern w:val="2"/>
          <w:sz w:val="28"/>
          <w:szCs w:val="28"/>
        </w:rPr>
        <w:t>202</w:t>
      </w:r>
      <w:r>
        <w:rPr>
          <w:rFonts w:hint="eastAsia" w:ascii="??_GB2312" w:hAnsi="Times New Roman" w:cs="Times New Roman" w:eastAsiaTheme="minorEastAsia"/>
          <w:kern w:val="2"/>
          <w:sz w:val="28"/>
          <w:szCs w:val="28"/>
        </w:rPr>
        <w:t>1</w:t>
      </w:r>
      <w:r>
        <w:rPr>
          <w:rFonts w:hint="eastAsia" w:ascii="??_GB2312" w:hAnsi="Times New Roman" w:eastAsia="Times New Roman" w:cs="Times New Roman"/>
          <w:kern w:val="2"/>
          <w:sz w:val="28"/>
          <w:szCs w:val="28"/>
        </w:rPr>
        <w:t>年度决算支出为</w:t>
      </w:r>
      <w:r>
        <w:rPr>
          <w:rFonts w:hint="eastAsia" w:ascii="??_GB2312" w:hAnsi="Times New Roman" w:cs="Times New Roman" w:eastAsiaTheme="minorEastAsia"/>
          <w:kern w:val="2"/>
          <w:sz w:val="28"/>
          <w:szCs w:val="28"/>
          <w:lang w:val="en-US" w:eastAsia="zh-CN"/>
        </w:rPr>
        <w:t>5870.32</w:t>
      </w:r>
      <w:r>
        <w:rPr>
          <w:rFonts w:hint="eastAsia" w:ascii="??_GB2312" w:hAnsi="Times New Roman" w:eastAsia="Times New Roman" w:cs="Times New Roman"/>
          <w:kern w:val="2"/>
          <w:sz w:val="28"/>
          <w:szCs w:val="28"/>
        </w:rPr>
        <w:t>万元</w:t>
      </w:r>
      <w:r>
        <w:rPr>
          <w:rFonts w:ascii="??_GB2312" w:hAnsi="Times New Roman" w:eastAsia="Times New Roman" w:cs="Times New Roman"/>
          <w:kern w:val="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（一）基本支出情况</w:t>
      </w:r>
    </w:p>
    <w:p>
      <w:pPr>
        <w:pStyle w:val="2"/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年决算基本支出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528.48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万元，主要是维持本系统正常运转的各项经常性支出，其中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人员经费支出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348.76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万元，一般商品和服务支出、个人及家庭补助支出和资本性支出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179.72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项目支出情况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 w:firstLine="420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年决算项目支出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5870.32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万元，主要是用于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保障性安居工程、老旧小区改造的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项目支出。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1</w:t>
      </w:r>
      <w:r>
        <w:rPr>
          <w:rFonts w:hint="eastAsia" w:eastAsia="仿宋_GB2312"/>
          <w:sz w:val="32"/>
          <w:szCs w:val="32"/>
        </w:rPr>
        <w:t>．因公出国（境）费用</w:t>
      </w:r>
      <w:r>
        <w:rPr>
          <w:rFonts w:hint="eastAsia" w:eastAsia="仿宋_GB2312"/>
          <w:sz w:val="32"/>
          <w:szCs w:val="32"/>
          <w:lang w:val="en-US" w:eastAsia="zh-CN"/>
        </w:rPr>
        <w:t>0万元</w:t>
      </w:r>
      <w:r>
        <w:rPr>
          <w:rFonts w:hint="eastAsia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2</w:t>
      </w:r>
      <w:r>
        <w:rPr>
          <w:rFonts w:hint="eastAsia" w:eastAsia="仿宋_GB2312"/>
          <w:sz w:val="32"/>
          <w:szCs w:val="32"/>
        </w:rPr>
        <w:t>．公务接待费</w:t>
      </w:r>
      <w:r>
        <w:rPr>
          <w:rFonts w:hint="eastAsia" w:eastAsia="仿宋_GB2312"/>
          <w:sz w:val="32"/>
          <w:szCs w:val="32"/>
          <w:lang w:val="en-US" w:eastAsia="zh-CN"/>
        </w:rPr>
        <w:t>0.23万元</w:t>
      </w:r>
      <w:r>
        <w:rPr>
          <w:rFonts w:hint="eastAsia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3</w:t>
      </w:r>
      <w:r>
        <w:rPr>
          <w:rFonts w:hint="eastAsia" w:eastAsia="仿宋_GB2312"/>
          <w:sz w:val="32"/>
          <w:szCs w:val="32"/>
        </w:rPr>
        <w:t>．公务用车购置及运行费</w:t>
      </w:r>
      <w:r>
        <w:rPr>
          <w:rFonts w:hint="eastAsia" w:eastAsia="仿宋_GB2312"/>
          <w:sz w:val="32"/>
          <w:szCs w:val="32"/>
          <w:lang w:val="en-US" w:eastAsia="zh-CN"/>
        </w:rPr>
        <w:t>0万元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部门整体支出绩效情况</w:t>
      </w:r>
    </w:p>
    <w:p>
      <w:pPr>
        <w:ind w:firstLine="666" w:firstLineChars="200"/>
        <w:rPr>
          <w:rFonts w:hint="eastAsia" w:ascii="黑体" w:hAnsi="黑体" w:eastAsia="黑体" w:cs="黑体"/>
          <w:b/>
          <w:bCs/>
          <w:sz w:val="30"/>
          <w:szCs w:val="30"/>
          <w:lang w:val="en-US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/>
        </w:rPr>
        <w:t>、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老旧小区改造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6" w:firstLineChars="200"/>
        <w:textAlignment w:val="auto"/>
        <w:rPr>
          <w:rFonts w:hint="eastAsia" w:ascii="仿宋" w:hAnsi="仿宋" w:eastAsia="仿宋"/>
          <w:kern w:val="2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老旧小区改造是一项惠及广大老百姓的民生工程，2021年我县城区共实施九个老旧小区改造项目，分别是总站（农贸市场）老旧小区、检察院法院老旧小区、朝阳片区老旧小区、桃洪路老旧小区、大桥路片区老旧小区、大井老旧小区、果品市场老旧小区、粮油市场老旧小区、方大公园至二中老旧小区改造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，共争取上级资金4681.5万元，计划完成立面装修5.2万㎡，完成排水管网改造11040米，完成自来水管改造7800米，完成人行道板改造2.3万㎡，完成炒砂路面7.2万㎡，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 xml:space="preserve">惠及住户3609户。 </w:t>
      </w:r>
    </w:p>
    <w:p>
      <w:pPr>
        <w:ind w:firstLine="666" w:firstLineChars="200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/>
        </w:rPr>
        <w:t>、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保障性住房管理工作</w:t>
      </w:r>
    </w:p>
    <w:p>
      <w:pPr>
        <w:ind w:firstLine="666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租赁补贴发放情况</w:t>
      </w:r>
    </w:p>
    <w:p>
      <w:pPr>
        <w:ind w:firstLine="666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021</w:t>
      </w:r>
      <w:r>
        <w:rPr>
          <w:rFonts w:hint="eastAsia" w:ascii="仿宋" w:hAnsi="仿宋" w:eastAsia="仿宋"/>
          <w:sz w:val="30"/>
          <w:szCs w:val="30"/>
        </w:rPr>
        <w:t>年度，隆回县租赁补贴发放计划数为6</w:t>
      </w:r>
      <w:r>
        <w:rPr>
          <w:rFonts w:ascii="仿宋" w:hAnsi="仿宋" w:eastAsia="仿宋"/>
          <w:sz w:val="30"/>
          <w:szCs w:val="30"/>
        </w:rPr>
        <w:t>16</w:t>
      </w:r>
      <w:r>
        <w:rPr>
          <w:rFonts w:hint="eastAsia" w:ascii="仿宋" w:hAnsi="仿宋" w:eastAsia="仿宋"/>
          <w:sz w:val="30"/>
          <w:szCs w:val="30"/>
        </w:rPr>
        <w:t>户。我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中心</w:t>
      </w:r>
      <w:r>
        <w:rPr>
          <w:rFonts w:hint="eastAsia" w:ascii="仿宋" w:hAnsi="仿宋" w:eastAsia="仿宋"/>
          <w:sz w:val="30"/>
          <w:szCs w:val="30"/>
        </w:rPr>
        <w:t>按上下半年分两次实发6</w:t>
      </w:r>
      <w:r>
        <w:rPr>
          <w:rFonts w:ascii="仿宋" w:hAnsi="仿宋" w:eastAsia="仿宋"/>
          <w:sz w:val="30"/>
          <w:szCs w:val="30"/>
        </w:rPr>
        <w:t>48</w:t>
      </w:r>
      <w:r>
        <w:rPr>
          <w:rFonts w:hint="eastAsia" w:ascii="仿宋" w:hAnsi="仿宋" w:eastAsia="仿宋"/>
          <w:sz w:val="30"/>
          <w:szCs w:val="30"/>
        </w:rPr>
        <w:t>户，实际发放金额6</w:t>
      </w:r>
      <w:r>
        <w:rPr>
          <w:rFonts w:ascii="仿宋" w:hAnsi="仿宋" w:eastAsia="仿宋"/>
          <w:sz w:val="30"/>
          <w:szCs w:val="30"/>
        </w:rPr>
        <w:t>12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eastAsia="zh-CN"/>
        </w:rPr>
        <w:t>万</w:t>
      </w:r>
      <w:r>
        <w:rPr>
          <w:rFonts w:hint="eastAsia" w:ascii="仿宋" w:hAnsi="仿宋" w:eastAsia="仿宋"/>
          <w:sz w:val="30"/>
          <w:szCs w:val="30"/>
        </w:rPr>
        <w:t>元。</w:t>
      </w:r>
    </w:p>
    <w:p>
      <w:pPr>
        <w:numPr>
          <w:ilvl w:val="0"/>
          <w:numId w:val="0"/>
        </w:numPr>
        <w:ind w:right="-112" w:rightChars="-36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实物配租情况</w:t>
      </w:r>
    </w:p>
    <w:p>
      <w:pPr>
        <w:ind w:right="-112" w:rightChars="-36" w:firstLine="666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年我县计划内配租5024套公租房，其中我单位直管公租房1086套，实际配租108</w:t>
      </w:r>
      <w:r>
        <w:rPr>
          <w:rFonts w:ascii="仿宋" w:hAnsi="仿宋" w:eastAsia="仿宋"/>
          <w:sz w:val="30"/>
          <w:szCs w:val="30"/>
        </w:rPr>
        <w:t>0</w:t>
      </w:r>
      <w:r>
        <w:rPr>
          <w:rFonts w:hint="eastAsia" w:ascii="仿宋" w:hAnsi="仿宋" w:eastAsia="仿宋"/>
          <w:sz w:val="30"/>
          <w:szCs w:val="30"/>
        </w:rPr>
        <w:t>套，其中桃花公租房340套，配租33</w:t>
      </w:r>
      <w:r>
        <w:rPr>
          <w:rFonts w:ascii="仿宋" w:hAnsi="仿宋" w:eastAsia="仿宋"/>
          <w:sz w:val="30"/>
          <w:szCs w:val="30"/>
        </w:rPr>
        <w:t>8</w:t>
      </w:r>
      <w:r>
        <w:rPr>
          <w:rFonts w:hint="eastAsia" w:ascii="仿宋" w:hAnsi="仿宋" w:eastAsia="仿宋"/>
          <w:sz w:val="30"/>
          <w:szCs w:val="30"/>
        </w:rPr>
        <w:t>套；城北224套，配租22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套，管理用房1套；果品市场廉租房382套，配租381套，管理用房1套；桃花廉租房140套，配租139套，管理用房1套。我单位直管公租房（含城西果品市场、城北老财政局、城东桃花廉租房小区及桃花公租房小区）收租金1</w:t>
      </w:r>
      <w:r>
        <w:rPr>
          <w:rFonts w:ascii="仿宋" w:hAnsi="仿宋" w:eastAsia="仿宋"/>
          <w:sz w:val="30"/>
          <w:szCs w:val="30"/>
        </w:rPr>
        <w:t>23</w:t>
      </w:r>
      <w:r>
        <w:rPr>
          <w:rFonts w:hint="eastAsia" w:ascii="仿宋" w:hAnsi="仿宋" w:eastAsia="仿宋"/>
          <w:sz w:val="30"/>
          <w:szCs w:val="30"/>
          <w:lang w:eastAsia="zh-CN"/>
        </w:rPr>
        <w:t>万</w:t>
      </w:r>
      <w:r>
        <w:rPr>
          <w:rFonts w:hint="eastAsia" w:ascii="仿宋" w:hAnsi="仿宋" w:eastAsia="仿宋"/>
          <w:sz w:val="30"/>
          <w:szCs w:val="30"/>
        </w:rPr>
        <w:t>元。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</w:t>
      </w:r>
    </w:p>
    <w:p>
      <w:pPr>
        <w:ind w:firstLine="666" w:firstLineChars="2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/>
        </w:rPr>
        <w:t>、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房屋专项维修资金管理工作</w:t>
      </w:r>
    </w:p>
    <w:p>
      <w:pPr>
        <w:ind w:firstLine="666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（1）</w:t>
      </w:r>
      <w:r>
        <w:rPr>
          <w:rFonts w:hint="eastAsia" w:ascii="仿宋" w:hAnsi="仿宋" w:eastAsia="仿宋" w:cs="仿宋"/>
          <w:sz w:val="30"/>
          <w:szCs w:val="30"/>
        </w:rPr>
        <w:t>认真完成经济指标，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2021年度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截止到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12月8日共归集</w:t>
      </w:r>
      <w:r>
        <w:rPr>
          <w:rFonts w:hint="eastAsia" w:ascii="仿宋" w:hAnsi="仿宋" w:eastAsia="仿宋" w:cs="仿宋"/>
          <w:sz w:val="30"/>
          <w:szCs w:val="30"/>
        </w:rPr>
        <w:t>物业专项维修资金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5546万元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66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（2）</w:t>
      </w:r>
      <w:r>
        <w:rPr>
          <w:rFonts w:hint="eastAsia" w:ascii="仿宋" w:hAnsi="仿宋" w:eastAsia="仿宋" w:cs="仿宋"/>
          <w:sz w:val="30"/>
          <w:szCs w:val="30"/>
        </w:rPr>
        <w:t>系统升级与数据清理已经到了收尾验收阶段，积极与软件公司对接，对历史数据逐个检查核对，确保新系统使用顺畅。</w:t>
      </w:r>
    </w:p>
    <w:p>
      <w:pPr>
        <w:ind w:firstLine="666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（3）2021年度</w:t>
      </w:r>
      <w:r>
        <w:rPr>
          <w:rFonts w:hint="eastAsia" w:ascii="仿宋" w:hAnsi="仿宋" w:eastAsia="仿宋" w:cs="仿宋"/>
          <w:sz w:val="30"/>
          <w:szCs w:val="30"/>
        </w:rPr>
        <w:t>共受理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 w:cs="仿宋"/>
          <w:sz w:val="30"/>
          <w:szCs w:val="30"/>
        </w:rPr>
        <w:t>个物业维修项目，使用维修资金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56万余</w:t>
      </w:r>
      <w:r>
        <w:rPr>
          <w:rFonts w:hint="eastAsia" w:ascii="仿宋" w:hAnsi="仿宋" w:eastAsia="仿宋" w:cs="仿宋"/>
          <w:sz w:val="30"/>
          <w:szCs w:val="30"/>
        </w:rPr>
        <w:t>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,</w:t>
      </w:r>
      <w:r>
        <w:rPr>
          <w:rFonts w:hint="eastAsia" w:ascii="仿宋" w:hAnsi="仿宋" w:eastAsia="仿宋" w:cs="仿宋"/>
          <w:sz w:val="30"/>
          <w:szCs w:val="30"/>
        </w:rPr>
        <w:t>做到了所有维修项目全部按规定、按程序使用资金。</w:t>
      </w:r>
    </w:p>
    <w:p>
      <w:pPr>
        <w:ind w:firstLine="666" w:firstLineChars="200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、物业管理服务工作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Lines="0" w:beforeAutospacing="0" w:after="240" w:afterLines="0" w:afterAutospacing="0"/>
        <w:ind w:firstLine="698" w:firstLineChars="200"/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  <w:lang w:val="en-US" w:eastAsia="zh-CN"/>
        </w:rPr>
        <w:t>（1）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加强队伍建设，明确岗位职责，全面提升辖区物业管理水平针对物业管理工作专业复杂、焦点突出、业务性强的特点，我们高度重视队伍建设，注重人员的专业素质及工作能力的提高。树立了“内强素质、外树形象”的工作目标，加强了队伍建设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Lines="0" w:beforeAutospacing="0" w:after="240" w:afterLines="0" w:afterAutospacing="0"/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  <w:lang w:val="en-US" w:eastAsia="zh-CN"/>
        </w:rPr>
        <w:t xml:space="preserve">   （2）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预防在先，疏堵结合，妥善处理各类物业管理纠纷及日常投诉工作。本着“预防在先、疏堵结合、及时发现、有效化解”的原则，协调解决了物业管理中的疑难问题，及时化解物业纠纷。截至目前，处理日常投诉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起，12345热线电话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起，妥善处理了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  <w:lang w:eastAsia="zh-CN"/>
        </w:rPr>
        <w:t>辰河世家、水岸华庭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、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  <w:lang w:eastAsia="zh-CN"/>
        </w:rPr>
        <w:t>风华水岸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  <w:lang w:eastAsia="zh-CN"/>
        </w:rPr>
        <w:t>滨江国际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等争议问题。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Lines="0" w:beforeAutospacing="0" w:after="240" w:afterLines="0" w:afterAutospacing="0"/>
        <w:ind w:firstLine="698" w:firstLineChars="200"/>
        <w:rPr>
          <w:rFonts w:hint="default" w:ascii="仿宋" w:hAnsi="仿宋" w:eastAsia="仿宋" w:cs="仿宋"/>
          <w:color w:val="333333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  <w:lang w:val="en-US" w:eastAsia="zh-CN"/>
        </w:rPr>
        <w:t>（3）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严格把关、高度重视前期物业小区的交接，认真完成物业公司的资质初审工作。一是在新建物业小区交接方面，针对前期交接中涉及的水、电、燃气、物业用房等配套设施事关业主利益的焦点问题，我们高度重视，严格把关，对照规划设计逐个审核，确保交接工作准确稳妥。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  <w:lang w:eastAsia="zh-CN"/>
        </w:rPr>
        <w:t>第三季度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共完成了对辰河世家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  <w:lang w:eastAsia="zh-CN"/>
        </w:rPr>
        <w:t>五期华悦名府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，等开发商与物业公司的前期物业交接材料的审核工作。</w:t>
      </w:r>
    </w:p>
    <w:p>
      <w:pPr>
        <w:ind w:firstLine="666" w:firstLineChars="200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五、白蚁防治工作</w:t>
      </w:r>
    </w:p>
    <w:p>
      <w:pPr>
        <w:ind w:firstLine="666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/>
        </w:rPr>
        <w:t>2021年以来，接到市民来电现场查看30余起，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都反应家里出现白蚁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eastAsia="zh-CN"/>
        </w:rPr>
        <w:t>危害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情况，要求前往查看，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/>
        </w:rPr>
        <w:t>2021年度累计白蚁灭治面积达到36万余平方米；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全县范围内机关单位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新建、改建、扩建房屋开展白蚁防治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与灭治面积约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16万平米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；其中原有房屋灭治面积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万平方米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、各机关单位灭治面积约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6万平方米、新建房屋预防面积约3万平方米，六月对方大公园、十一月对魏源公园分别开展了集中白蚁灭治施工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；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确保了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房屋居住安全以及人员安全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存在的问题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739" w:firstLineChars="231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1、预算编制有待细化。预算编制不够明确和细化，预算编制的合理性需要提高，预算执行力度还要进一步加强。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739" w:firstLineChars="231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2、财务管理有待创新。财务管理水平和逐年上升的财务要求不匹配，相对落后。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739" w:firstLineChars="231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3、资产管理有待加强。对国有资产管理不较规范，部分往来款项清理不够及时，管理方法不科学。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739" w:firstLineChars="231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4、收支矛盾突出，每年的绩效考核、专项奖励未进预算经费，大大增加了单位的支出压力。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改进措施和有关建议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1、细化预算编制工作，认真做好预算的编制。进一步加强单位内部机构各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完善资产管理，抓好“三公”经费控制。严格编制政府采购年初预算和计划，规范各类资产的购置审批、采购、使用管理、处置和报废、管理岗位职责等制度，加强单位内部的资产管理工作。严格控制“三公”经费的规模和比例，把关“三公”经费支出的审核、审批，杜绝挪用和挤占其他预算资金行为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4、增加预算，控制支出，化解债务。一是增加干部职工绩效考核奖，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是增加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老旧小区改造</w:t>
      </w:r>
      <w:r>
        <w:rPr>
          <w:rFonts w:hint="eastAsia" w:ascii="仿宋" w:hAnsi="仿宋" w:eastAsia="仿宋" w:cs="仿宋"/>
          <w:sz w:val="32"/>
          <w:szCs w:val="32"/>
        </w:rPr>
        <w:t>专项经费。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三是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工程造价要严格进行财政投资评审和审计监督。</w:t>
      </w:r>
    </w:p>
    <w:p>
      <w:pPr>
        <w:pStyle w:val="2"/>
        <w:numPr>
          <w:ilvl w:val="0"/>
          <w:numId w:val="0"/>
        </w:num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swiss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0502105">
    <w:nsid w:val="6260A9D9"/>
    <w:multiLevelType w:val="singleLevel"/>
    <w:tmpl w:val="6260A9D9"/>
    <w:lvl w:ilvl="0" w:tentative="1">
      <w:start w:val="1"/>
      <w:numFmt w:val="decimal"/>
      <w:suff w:val="nothing"/>
      <w:lvlText w:val="(%1)"/>
      <w:lvlJc w:val="left"/>
    </w:lvl>
  </w:abstractNum>
  <w:abstractNum w:abstractNumId="1585791673">
    <w:nsid w:val="5E8542B9"/>
    <w:multiLevelType w:val="singleLevel"/>
    <w:tmpl w:val="5E8542B9"/>
    <w:lvl w:ilvl="0" w:tentative="1">
      <w:start w:val="1"/>
      <w:numFmt w:val="decimal"/>
      <w:suff w:val="nothing"/>
      <w:lvlText w:val="%1."/>
      <w:lvlJc w:val="left"/>
    </w:lvl>
  </w:abstractNum>
  <w:abstractNum w:abstractNumId="1650508584">
    <w:nsid w:val="6260C328"/>
    <w:multiLevelType w:val="singleLevel"/>
    <w:tmpl w:val="6260C328"/>
    <w:lvl w:ilvl="0" w:tentative="1">
      <w:start w:val="2"/>
      <w:numFmt w:val="chineseCounting"/>
      <w:suff w:val="nothing"/>
      <w:lvlText w:val="（%1）"/>
      <w:lvlJc w:val="left"/>
    </w:lvl>
  </w:abstractNum>
  <w:abstractNum w:abstractNumId="1650509065">
    <w:nsid w:val="6260C509"/>
    <w:multiLevelType w:val="singleLevel"/>
    <w:tmpl w:val="6260C509"/>
    <w:lvl w:ilvl="0" w:tentative="1">
      <w:start w:val="3"/>
      <w:numFmt w:val="chineseCounting"/>
      <w:suff w:val="nothing"/>
      <w:lvlText w:val="%1、"/>
      <w:lvlJc w:val="left"/>
    </w:lvl>
  </w:abstractNum>
  <w:num w:numId="1">
    <w:abstractNumId w:val="1585791673"/>
  </w:num>
  <w:num w:numId="2">
    <w:abstractNumId w:val="1650502105"/>
  </w:num>
  <w:num w:numId="3">
    <w:abstractNumId w:val="1650508584"/>
  </w:num>
  <w:num w:numId="4">
    <w:abstractNumId w:val="16505090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164E3"/>
    <w:rsid w:val="03D40D58"/>
    <w:rsid w:val="11E051E0"/>
    <w:rsid w:val="124D3615"/>
    <w:rsid w:val="1EB067E8"/>
    <w:rsid w:val="2360082E"/>
    <w:rsid w:val="29533F58"/>
    <w:rsid w:val="2BB43B45"/>
    <w:rsid w:val="2C2F7B89"/>
    <w:rsid w:val="347B5C3D"/>
    <w:rsid w:val="3CFF16A1"/>
    <w:rsid w:val="44E9469A"/>
    <w:rsid w:val="4DF02E82"/>
    <w:rsid w:val="4EDD2072"/>
    <w:rsid w:val="68AA295C"/>
    <w:rsid w:val="702B4594"/>
    <w:rsid w:val="78601C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2022-04-21T03:18:42Z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