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C1D" w:rsidRDefault="00CE1C1D">
      <w:pPr>
        <w:pStyle w:val="20"/>
        <w:ind w:firstLineChars="0" w:firstLine="0"/>
        <w:rPr>
          <w:rFonts w:ascii="仿宋" w:eastAsia="仿宋" w:hAnsi="仿宋" w:cs="仿宋"/>
          <w:kern w:val="0"/>
          <w:sz w:val="24"/>
        </w:rPr>
      </w:pPr>
    </w:p>
    <w:p w:rsidR="00CE1C1D" w:rsidRDefault="00C51615">
      <w:pPr>
        <w:spacing w:line="600" w:lineRule="exact"/>
        <w:rPr>
          <w:rFonts w:ascii="黑体" w:eastAsia="黑体" w:hAnsi="黑体" w:cs="黑体"/>
          <w:kern w:val="0"/>
          <w:sz w:val="32"/>
          <w:szCs w:val="32"/>
        </w:rPr>
      </w:pPr>
      <w:r>
        <w:rPr>
          <w:rFonts w:ascii="黑体" w:eastAsia="黑体" w:hAnsi="黑体" w:cs="黑体" w:hint="eastAsia"/>
          <w:kern w:val="0"/>
          <w:sz w:val="32"/>
          <w:szCs w:val="32"/>
        </w:rPr>
        <w:t>附件2</w:t>
      </w:r>
    </w:p>
    <w:p w:rsidR="00CE1C1D" w:rsidRDefault="00C51615">
      <w:pPr>
        <w:spacing w:line="600" w:lineRule="exact"/>
        <w:jc w:val="center"/>
        <w:rPr>
          <w:rFonts w:ascii="方正大标宋简体" w:eastAsia="方正大标宋简体" w:hAnsi="方正大标宋简体" w:cs="方正大标宋简体"/>
          <w:bCs/>
          <w:kern w:val="0"/>
          <w:sz w:val="44"/>
          <w:szCs w:val="44"/>
        </w:rPr>
      </w:pPr>
      <w:r>
        <w:rPr>
          <w:rFonts w:ascii="方正大标宋简体" w:eastAsia="方正大标宋简体" w:hAnsi="方正大标宋简体" w:cs="方正大标宋简体" w:hint="eastAsia"/>
          <w:bCs/>
          <w:kern w:val="0"/>
          <w:sz w:val="44"/>
          <w:szCs w:val="44"/>
        </w:rPr>
        <w:t>隆回县住房和城乡建设局</w:t>
      </w:r>
    </w:p>
    <w:p w:rsidR="00CE1C1D" w:rsidRDefault="00C51615">
      <w:pPr>
        <w:spacing w:line="600" w:lineRule="exact"/>
        <w:jc w:val="center"/>
        <w:rPr>
          <w:rFonts w:ascii="方正大标宋简体" w:eastAsia="方正大标宋简体" w:hAnsi="方正大标宋简体" w:cs="方正大标宋简体"/>
          <w:bCs/>
          <w:kern w:val="0"/>
          <w:sz w:val="44"/>
          <w:szCs w:val="44"/>
        </w:rPr>
      </w:pPr>
      <w:r>
        <w:rPr>
          <w:rFonts w:ascii="方正大标宋简体" w:eastAsia="方正大标宋简体" w:hAnsi="方正大标宋简体" w:cs="方正大标宋简体" w:hint="eastAsia"/>
          <w:bCs/>
          <w:kern w:val="0"/>
          <w:sz w:val="44"/>
          <w:szCs w:val="44"/>
        </w:rPr>
        <w:t>部门整体支出绩效自评报告</w:t>
      </w:r>
    </w:p>
    <w:p w:rsidR="00CE1C1D" w:rsidRDefault="00CE1C1D">
      <w:pPr>
        <w:ind w:firstLineChars="200" w:firstLine="420"/>
        <w:rPr>
          <w:rFonts w:ascii="仿宋" w:eastAsia="仿宋" w:hAnsi="仿宋" w:cs="仿宋"/>
        </w:rPr>
      </w:pPr>
    </w:p>
    <w:p w:rsidR="00CE1C1D" w:rsidRDefault="00C5161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一、部门、单位基本情况</w:t>
      </w:r>
    </w:p>
    <w:p w:rsidR="00CE1C1D" w:rsidRDefault="00C51615">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（一）机构设置情况、人员编制情况、主要职能职责、2024年的重点工作、绩效目标设定情况。</w:t>
      </w:r>
    </w:p>
    <w:p w:rsidR="00CE1C1D" w:rsidRDefault="00C51615">
      <w:pPr>
        <w:pStyle w:val="a7"/>
        <w:shd w:val="clear" w:color="auto" w:fill="FFFFFF"/>
        <w:spacing w:before="0" w:beforeAutospacing="0" w:after="0" w:afterAutospacing="0" w:line="240" w:lineRule="atLeast"/>
        <w:ind w:firstLineChars="300" w:firstLine="960"/>
        <w:rPr>
          <w:rFonts w:ascii="仿宋" w:eastAsia="仿宋" w:hAnsi="仿宋" w:cs="仿宋"/>
          <w:sz w:val="32"/>
          <w:szCs w:val="32"/>
        </w:rPr>
      </w:pPr>
      <w:r>
        <w:rPr>
          <w:rFonts w:ascii="仿宋" w:eastAsia="仿宋" w:hAnsi="仿宋" w:cs="仿宋" w:hint="eastAsia"/>
          <w:sz w:val="32"/>
          <w:szCs w:val="32"/>
        </w:rPr>
        <w:t>隆回县住房和城乡建设局编制人数为14人(其中行政编制13人，工勤编制1人)，实际在职</w:t>
      </w:r>
      <w:r w:rsidR="007A6C63">
        <w:rPr>
          <w:rFonts w:ascii="仿宋" w:eastAsia="仿宋" w:hAnsi="仿宋" w:cs="仿宋" w:hint="eastAsia"/>
          <w:sz w:val="32"/>
          <w:szCs w:val="32"/>
        </w:rPr>
        <w:t>21</w:t>
      </w:r>
      <w:r>
        <w:rPr>
          <w:rFonts w:ascii="仿宋" w:eastAsia="仿宋" w:hAnsi="仿宋" w:cs="仿宋" w:hint="eastAsia"/>
          <w:sz w:val="32"/>
          <w:szCs w:val="32"/>
        </w:rPr>
        <w:t>人，退休2</w:t>
      </w:r>
      <w:r w:rsidR="00607FA8">
        <w:rPr>
          <w:rFonts w:ascii="仿宋" w:eastAsia="仿宋" w:hAnsi="仿宋" w:cs="仿宋" w:hint="eastAsia"/>
          <w:sz w:val="32"/>
          <w:szCs w:val="32"/>
        </w:rPr>
        <w:t>7</w:t>
      </w:r>
      <w:r>
        <w:rPr>
          <w:rFonts w:ascii="仿宋" w:eastAsia="仿宋" w:hAnsi="仿宋" w:cs="仿宋" w:hint="eastAsia"/>
          <w:sz w:val="32"/>
          <w:szCs w:val="32"/>
        </w:rPr>
        <w:t>人。遗属补助人数0人，小车编制数1台，实际数1台（</w:t>
      </w:r>
      <w:r>
        <w:rPr>
          <w:rFonts w:ascii="仿宋" w:eastAsia="仿宋" w:hAnsi="仿宋" w:cs="仿宋" w:hint="eastAsia"/>
          <w:color w:val="232323"/>
          <w:sz w:val="32"/>
          <w:szCs w:val="32"/>
          <w:shd w:val="clear" w:color="auto" w:fill="FFFFFF"/>
        </w:rPr>
        <w:t>特种专业技术用车</w:t>
      </w:r>
      <w:r>
        <w:rPr>
          <w:rFonts w:ascii="仿宋" w:eastAsia="仿宋" w:hAnsi="仿宋" w:cs="仿宋" w:hint="eastAsia"/>
          <w:sz w:val="32"/>
          <w:szCs w:val="32"/>
        </w:rPr>
        <w:t>）系人防办车辆，办公楼面积4355.95平方米（其中：老办公楼房屋面积1300平方米</w:t>
      </w:r>
      <w:bookmarkStart w:id="0" w:name="baidusnap1"/>
      <w:bookmarkEnd w:id="0"/>
      <w:r>
        <w:rPr>
          <w:rFonts w:ascii="仿宋" w:eastAsia="仿宋" w:hAnsi="仿宋" w:cs="仿宋" w:hint="eastAsia"/>
          <w:sz w:val="32"/>
          <w:szCs w:val="32"/>
        </w:rPr>
        <w:t>、人防办办公楼面积3055.95平方）。特种专业技术车辆系人防办权属</w:t>
      </w:r>
      <w:r w:rsidR="00F66226">
        <w:rPr>
          <w:rFonts w:ascii="仿宋" w:eastAsia="仿宋" w:hAnsi="仿宋" w:cs="仿宋" w:hint="eastAsia"/>
          <w:sz w:val="32"/>
          <w:szCs w:val="32"/>
        </w:rPr>
        <w:t>,</w:t>
      </w:r>
      <w:r>
        <w:rPr>
          <w:rFonts w:ascii="仿宋" w:eastAsia="仿宋" w:hAnsi="仿宋" w:cs="仿宋" w:hint="eastAsia"/>
          <w:color w:val="000000"/>
          <w:sz w:val="32"/>
          <w:szCs w:val="32"/>
        </w:rPr>
        <w:t>县住房和城乡建设局</w:t>
      </w:r>
      <w:r>
        <w:rPr>
          <w:rFonts w:ascii="仿宋" w:eastAsia="仿宋" w:hAnsi="仿宋" w:cs="仿宋" w:hint="eastAsia"/>
          <w:sz w:val="32"/>
          <w:szCs w:val="32"/>
        </w:rPr>
        <w:t>与人防办共同办公。</w:t>
      </w:r>
    </w:p>
    <w:p w:rsidR="00CE1C1D" w:rsidRDefault="00C51615">
      <w:pPr>
        <w:pStyle w:val="a7"/>
        <w:shd w:val="clear" w:color="auto" w:fill="FFFFFF"/>
        <w:spacing w:before="0" w:beforeAutospacing="0" w:after="0" w:afterAutospacing="0" w:line="240" w:lineRule="atLeast"/>
        <w:ind w:firstLineChars="300" w:firstLine="960"/>
        <w:rPr>
          <w:rFonts w:ascii="仿宋" w:eastAsia="仿宋" w:hAnsi="仿宋" w:cs="仿宋"/>
          <w:color w:val="000000" w:themeColor="text1"/>
          <w:sz w:val="32"/>
          <w:szCs w:val="32"/>
        </w:rPr>
      </w:pPr>
      <w:r>
        <w:rPr>
          <w:rFonts w:ascii="仿宋" w:eastAsia="仿宋" w:hAnsi="仿宋" w:cs="仿宋" w:hint="eastAsia"/>
          <w:color w:val="000000"/>
          <w:sz w:val="32"/>
          <w:szCs w:val="32"/>
        </w:rPr>
        <w:t>隆回县住房和城乡建设局设9个内设机构：办公室、人教股、政策法规及行政审批股、计划财务股、建工股、城市建设管理股、住房股、消防股、村镇建设股。</w:t>
      </w:r>
    </w:p>
    <w:p w:rsidR="00CE1C1D" w:rsidRDefault="00C51615">
      <w:pPr>
        <w:numPr>
          <w:ilvl w:val="0"/>
          <w:numId w:val="1"/>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部门整体支出情况</w:t>
      </w:r>
    </w:p>
    <w:p w:rsidR="00CE1C1D" w:rsidRDefault="00C51615" w:rsidP="00CE1C1D">
      <w:pPr>
        <w:pStyle w:val="a0"/>
        <w:ind w:firstLineChars="300" w:firstLine="960"/>
      </w:pPr>
      <w:r>
        <w:rPr>
          <w:rFonts w:ascii="仿宋" w:eastAsia="仿宋" w:hAnsi="仿宋" w:cs="仿宋" w:hint="eastAsia"/>
          <w:sz w:val="32"/>
          <w:szCs w:val="32"/>
        </w:rPr>
        <w:t>2024年，隆回县住建系统坚持以习近平新时代中国特色社会主义思想为指导，认真贯彻落实国家、省、</w:t>
      </w:r>
      <w:proofErr w:type="gramStart"/>
      <w:r>
        <w:rPr>
          <w:rFonts w:ascii="仿宋" w:eastAsia="仿宋" w:hAnsi="仿宋" w:cs="仿宋" w:hint="eastAsia"/>
          <w:sz w:val="32"/>
          <w:szCs w:val="32"/>
        </w:rPr>
        <w:t>市稳经济</w:t>
      </w:r>
      <w:proofErr w:type="gramEnd"/>
      <w:r>
        <w:rPr>
          <w:rFonts w:ascii="仿宋" w:eastAsia="仿宋" w:hAnsi="仿宋" w:cs="仿宋" w:hint="eastAsia"/>
          <w:sz w:val="32"/>
          <w:szCs w:val="32"/>
        </w:rPr>
        <w:t>大盘的一揽子政策措施，紧紧围绕县委、县政府中心工作，以党建</w:t>
      </w:r>
      <w:proofErr w:type="gramStart"/>
      <w:r>
        <w:rPr>
          <w:rFonts w:ascii="仿宋" w:eastAsia="仿宋" w:hAnsi="仿宋" w:cs="仿宋" w:hint="eastAsia"/>
          <w:sz w:val="32"/>
          <w:szCs w:val="32"/>
        </w:rPr>
        <w:t>引领住</w:t>
      </w:r>
      <w:proofErr w:type="gramEnd"/>
      <w:r>
        <w:rPr>
          <w:rFonts w:ascii="仿宋" w:eastAsia="仿宋" w:hAnsi="仿宋" w:cs="仿宋" w:hint="eastAsia"/>
          <w:sz w:val="32"/>
          <w:szCs w:val="32"/>
        </w:rPr>
        <w:t>建发展、以安全打</w:t>
      </w:r>
      <w:proofErr w:type="gramStart"/>
      <w:r>
        <w:rPr>
          <w:rFonts w:ascii="仿宋" w:eastAsia="仿宋" w:hAnsi="仿宋" w:cs="仿宋" w:hint="eastAsia"/>
          <w:sz w:val="32"/>
          <w:szCs w:val="32"/>
        </w:rPr>
        <w:t>牢发展</w:t>
      </w:r>
      <w:proofErr w:type="gramEnd"/>
      <w:r>
        <w:rPr>
          <w:rFonts w:ascii="仿宋" w:eastAsia="仿宋" w:hAnsi="仿宋" w:cs="仿宋" w:hint="eastAsia"/>
          <w:sz w:val="32"/>
          <w:szCs w:val="32"/>
        </w:rPr>
        <w:t>基石，持续推进城市功能与品质提升，大力改善城乡环境，不断完善住房保障体系，筑牢住</w:t>
      </w:r>
      <w:proofErr w:type="gramStart"/>
      <w:r>
        <w:rPr>
          <w:rFonts w:ascii="仿宋" w:eastAsia="仿宋" w:hAnsi="仿宋" w:cs="仿宋" w:hint="eastAsia"/>
          <w:sz w:val="32"/>
          <w:szCs w:val="32"/>
        </w:rPr>
        <w:t>建领域</w:t>
      </w:r>
      <w:proofErr w:type="gramEnd"/>
      <w:r>
        <w:rPr>
          <w:rFonts w:ascii="仿宋" w:eastAsia="仿宋" w:hAnsi="仿宋" w:cs="仿宋" w:hint="eastAsia"/>
          <w:sz w:val="32"/>
          <w:szCs w:val="32"/>
        </w:rPr>
        <w:t>安全防线，实现了住房和城乡建设事业的高质量发展。建筑业产值、常住人口城镇化率、住房达标率等指标考核</w:t>
      </w:r>
      <w:proofErr w:type="gramStart"/>
      <w:r>
        <w:rPr>
          <w:rFonts w:ascii="仿宋" w:eastAsia="仿宋" w:hAnsi="仿宋" w:cs="仿宋" w:hint="eastAsia"/>
          <w:sz w:val="32"/>
          <w:szCs w:val="32"/>
        </w:rPr>
        <w:t>排全市</w:t>
      </w:r>
      <w:proofErr w:type="gramEnd"/>
      <w:r>
        <w:rPr>
          <w:rFonts w:ascii="仿宋" w:eastAsia="仿宋" w:hAnsi="仿宋" w:cs="仿宋" w:hint="eastAsia"/>
          <w:sz w:val="32"/>
          <w:szCs w:val="32"/>
        </w:rPr>
        <w:t>前列；“保交房”工作</w:t>
      </w:r>
      <w:proofErr w:type="gramStart"/>
      <w:r>
        <w:rPr>
          <w:rFonts w:ascii="仿宋" w:eastAsia="仿宋" w:hAnsi="仿宋" w:cs="仿宋" w:hint="eastAsia"/>
          <w:sz w:val="32"/>
          <w:szCs w:val="32"/>
        </w:rPr>
        <w:t>获省住建</w:t>
      </w:r>
      <w:proofErr w:type="gramEnd"/>
      <w:r>
        <w:rPr>
          <w:rFonts w:ascii="仿宋" w:eastAsia="仿宋" w:hAnsi="仿宋" w:cs="仿宋" w:hint="eastAsia"/>
          <w:sz w:val="32"/>
          <w:szCs w:val="32"/>
        </w:rPr>
        <w:t>厅、市住建局多次表彰；房地产监管和保交房、建设工程安全生产管理获得全市住房城乡建设工作先进单位；重点项目建设工作、</w:t>
      </w:r>
      <w:r>
        <w:rPr>
          <w:rFonts w:ascii="仿宋" w:eastAsia="仿宋" w:hAnsi="仿宋" w:cs="仿宋" w:hint="eastAsia"/>
          <w:sz w:val="32"/>
          <w:szCs w:val="32"/>
        </w:rPr>
        <w:lastRenderedPageBreak/>
        <w:t>优化营商环境工作获得全县先进单位。</w:t>
      </w:r>
    </w:p>
    <w:p w:rsidR="00CE1C1D" w:rsidRDefault="00CE1C1D">
      <w:pPr>
        <w:pStyle w:val="a0"/>
      </w:pPr>
    </w:p>
    <w:p w:rsidR="00CE1C1D" w:rsidRDefault="00C5161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二、部门整体支出管理及使用情况</w:t>
      </w:r>
    </w:p>
    <w:p w:rsidR="00CE1C1D" w:rsidRDefault="00C51615">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（一）基本支出情况</w:t>
      </w:r>
    </w:p>
    <w:p w:rsidR="00CE1C1D" w:rsidRDefault="00C51615">
      <w:pPr>
        <w:pStyle w:val="a0"/>
      </w:pPr>
      <w:r>
        <w:rPr>
          <w:rFonts w:ascii="仿宋_GB2312" w:eastAsia="仿宋_GB2312" w:hAnsi="仿宋_GB2312" w:cs="仿宋_GB2312" w:hint="eastAsia"/>
          <w:snapToGrid w:val="0"/>
          <w:color w:val="000000"/>
          <w:kern w:val="0"/>
          <w:sz w:val="32"/>
          <w:szCs w:val="32"/>
        </w:rPr>
        <w:t>2024年本部门基本支出381.41万元， 主要是为保障部门正常运转、完成日常工作任务而发生的各项支出，包括用于基本工资、津贴补贴等人员经费以及办公费、印刷费、水电费、办公设备购置等公用经费。</w:t>
      </w:r>
    </w:p>
    <w:p w:rsidR="00CE1C1D" w:rsidRDefault="00C51615">
      <w:pPr>
        <w:numPr>
          <w:ilvl w:val="0"/>
          <w:numId w:val="1"/>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专项资金情况</w:t>
      </w:r>
    </w:p>
    <w:p w:rsidR="00CE1C1D" w:rsidRDefault="00C51615">
      <w:pPr>
        <w:spacing w:line="640" w:lineRule="exact"/>
        <w:ind w:firstLineChars="200" w:firstLine="640"/>
      </w:pPr>
      <w:r>
        <w:rPr>
          <w:rFonts w:ascii="仿宋_GB2312" w:eastAsia="仿宋_GB2312" w:hAnsi="仿宋_GB2312" w:cs="仿宋_GB2312" w:hint="eastAsia"/>
          <w:snapToGrid w:val="0"/>
          <w:color w:val="000000"/>
          <w:kern w:val="0"/>
          <w:sz w:val="32"/>
          <w:szCs w:val="32"/>
        </w:rPr>
        <w:t>主要是部门为完成特定行政工作任务或事业发展目标而发生的支出，包括有关事业发展专项、专项业务费、基本建设支出等，其中：</w:t>
      </w:r>
      <w:r>
        <w:rPr>
          <w:rFonts w:ascii="仿宋_GB2312" w:eastAsia="仿宋_GB2312" w:hAnsi="仿宋" w:cs="仿宋" w:hint="eastAsia"/>
          <w:sz w:val="32"/>
          <w:szCs w:val="32"/>
        </w:rPr>
        <w:t>县公用事业服务中心实施的县城市政公用设施维护建设管理项目50万元；</w:t>
      </w:r>
      <w:proofErr w:type="gramStart"/>
      <w:r>
        <w:rPr>
          <w:rFonts w:ascii="仿宋_GB2312" w:eastAsia="仿宋_GB2312" w:hAnsi="仿宋" w:cs="仿宋" w:hint="eastAsia"/>
          <w:sz w:val="32"/>
          <w:szCs w:val="32"/>
        </w:rPr>
        <w:t>县住保中心</w:t>
      </w:r>
      <w:proofErr w:type="gramEnd"/>
      <w:r>
        <w:rPr>
          <w:rFonts w:ascii="仿宋_GB2312" w:eastAsia="仿宋_GB2312" w:hAnsi="仿宋" w:cs="仿宋" w:hint="eastAsia"/>
          <w:sz w:val="32"/>
          <w:szCs w:val="32"/>
        </w:rPr>
        <w:t>实施的城镇老旧小区改造项目80.4508万元；县自来水公司实施的城区给水老旧管网改造资金补助16万元；由1个街道办及17个乡镇实施的公共设施维护建设补助项目150万元，城乡建设运行监管项目金额439.20812万元；</w:t>
      </w:r>
      <w:r>
        <w:rPr>
          <w:rFonts w:ascii="仿宋" w:eastAsia="仿宋" w:hAnsi="仿宋" w:cs="仿宋" w:hint="eastAsia"/>
          <w:color w:val="000000"/>
          <w:sz w:val="32"/>
          <w:szCs w:val="32"/>
        </w:rPr>
        <w:t>城市社区公共设施维护建设2500万元主要用于县城、乡镇市政公用配套设施建设等方面；污水处理费</w:t>
      </w:r>
      <w:r>
        <w:rPr>
          <w:rFonts w:ascii="仿宋" w:eastAsia="仿宋" w:hAnsi="仿宋" w:cs="仿宋" w:hint="eastAsia"/>
          <w:color w:val="333333"/>
          <w:sz w:val="32"/>
          <w:szCs w:val="32"/>
          <w:shd w:val="clear" w:color="auto" w:fill="FFFFFF"/>
        </w:rPr>
        <w:t>956.16662万元</w:t>
      </w:r>
      <w:r>
        <w:rPr>
          <w:rFonts w:ascii="仿宋" w:eastAsia="仿宋" w:hAnsi="仿宋" w:cs="仿宋" w:hint="eastAsia"/>
          <w:color w:val="000000"/>
          <w:sz w:val="32"/>
          <w:szCs w:val="32"/>
        </w:rPr>
        <w:t>用于华茂污水处理厂及各乡镇污水处理厂运维服务费等</w:t>
      </w:r>
    </w:p>
    <w:p w:rsidR="00CE1C1D" w:rsidRDefault="00C51615">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（三）“三公”经费情况</w:t>
      </w:r>
    </w:p>
    <w:p w:rsidR="00CE1C1D" w:rsidRDefault="00C51615">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1.因公出国（境）费用；无</w:t>
      </w:r>
    </w:p>
    <w:p w:rsidR="00CE1C1D" w:rsidRDefault="00C51615">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2.公务接待费0.58万元，</w:t>
      </w:r>
      <w:r>
        <w:rPr>
          <w:rFonts w:ascii="仿宋" w:eastAsia="仿宋" w:hAnsi="仿宋" w:hint="eastAsia"/>
          <w:spacing w:val="4"/>
          <w:sz w:val="31"/>
          <w:szCs w:val="31"/>
        </w:rPr>
        <w:t>较</w:t>
      </w:r>
      <w:r>
        <w:rPr>
          <w:spacing w:val="4"/>
          <w:sz w:val="31"/>
          <w:szCs w:val="31"/>
        </w:rPr>
        <w:t>202</w:t>
      </w:r>
      <w:r>
        <w:rPr>
          <w:rFonts w:hint="eastAsia"/>
          <w:spacing w:val="4"/>
          <w:sz w:val="31"/>
          <w:szCs w:val="31"/>
        </w:rPr>
        <w:t>3</w:t>
      </w:r>
      <w:r>
        <w:rPr>
          <w:rFonts w:ascii="仿宋" w:eastAsia="仿宋" w:hAnsi="仿宋" w:hint="eastAsia"/>
          <w:spacing w:val="4"/>
          <w:sz w:val="31"/>
          <w:szCs w:val="31"/>
        </w:rPr>
        <w:t>年减少1.31万元</w:t>
      </w:r>
    </w:p>
    <w:p w:rsidR="00CE1C1D" w:rsidRDefault="00C51615">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3.公务用车购置及运行费。无</w:t>
      </w:r>
    </w:p>
    <w:p w:rsidR="00CE1C1D" w:rsidRDefault="00C51615">
      <w:pPr>
        <w:pStyle w:val="a0"/>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三、政府性基金预算支出情况</w:t>
      </w:r>
    </w:p>
    <w:p w:rsidR="00CE1C1D" w:rsidRDefault="00C5161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四、国有资本经营预算支出情况</w:t>
      </w:r>
    </w:p>
    <w:p w:rsidR="00CE1C1D" w:rsidRDefault="00C51615">
      <w:pPr>
        <w:pStyle w:val="a0"/>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五、社会保险基金预算支出情况</w:t>
      </w:r>
    </w:p>
    <w:p w:rsidR="00CE1C1D" w:rsidRDefault="00C51615">
      <w:pPr>
        <w:pStyle w:val="a0"/>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六、部门整体支出绩效情况</w:t>
      </w:r>
    </w:p>
    <w:p w:rsidR="00CE1C1D" w:rsidRDefault="00C51615">
      <w:pPr>
        <w:spacing w:line="560" w:lineRule="exact"/>
        <w:ind w:firstLineChars="200" w:firstLine="640"/>
        <w:rPr>
          <w:rFonts w:ascii="楷体" w:eastAsia="楷体" w:hAnsi="楷体" w:cs="楷体"/>
          <w:sz w:val="32"/>
          <w:szCs w:val="32"/>
        </w:rPr>
      </w:pPr>
      <w:r>
        <w:rPr>
          <w:rFonts w:ascii="楷体" w:eastAsia="楷体" w:hAnsi="楷体" w:cs="楷体" w:hint="eastAsia"/>
          <w:color w:val="000000"/>
          <w:sz w:val="32"/>
          <w:szCs w:val="32"/>
        </w:rPr>
        <w:t>（一）各经济指标预计完成情况</w:t>
      </w:r>
    </w:p>
    <w:p w:rsidR="00CE1C1D" w:rsidRDefault="00C51615">
      <w:pPr>
        <w:spacing w:line="560" w:lineRule="exact"/>
        <w:ind w:firstLineChars="200" w:firstLine="640"/>
        <w:rPr>
          <w:rFonts w:ascii="仿宋" w:eastAsia="仿宋" w:hAnsi="仿宋" w:cs="华文仿宋"/>
          <w:color w:val="000000"/>
          <w:sz w:val="32"/>
          <w:szCs w:val="32"/>
        </w:rPr>
      </w:pPr>
      <w:r>
        <w:rPr>
          <w:rFonts w:ascii="仿宋" w:eastAsia="仿宋" w:hAnsi="仿宋" w:cs="仿宋" w:hint="eastAsia"/>
          <w:sz w:val="32"/>
          <w:szCs w:val="32"/>
        </w:rPr>
        <w:t>资质等级建筑业总产值增速排名全市第一；商品房销售面积增速负17.6%，排名全市第七；房地产业劳动报酬增速负0.1%，排名全市第九；</w:t>
      </w:r>
      <w:r>
        <w:rPr>
          <w:rFonts w:ascii="仿宋" w:eastAsia="仿宋" w:hAnsi="仿宋" w:cs="华文仿宋" w:hint="eastAsia"/>
          <w:color w:val="000000"/>
          <w:sz w:val="32"/>
          <w:szCs w:val="32"/>
        </w:rPr>
        <w:t>住房达标率增速排名全市第一；</w:t>
      </w:r>
      <w:r>
        <w:rPr>
          <w:rFonts w:ascii="仿宋" w:eastAsia="仿宋" w:hAnsi="仿宋" w:cs="华文仿宋"/>
          <w:color w:val="000000"/>
          <w:sz w:val="32"/>
          <w:szCs w:val="32"/>
        </w:rPr>
        <w:t>常住人口城镇化率</w:t>
      </w:r>
      <w:r>
        <w:rPr>
          <w:rFonts w:ascii="仿宋" w:eastAsia="仿宋" w:hAnsi="仿宋" w:cs="华文仿宋" w:hint="eastAsia"/>
          <w:color w:val="000000"/>
          <w:sz w:val="32"/>
          <w:szCs w:val="32"/>
        </w:rPr>
        <w:t>增速排名全市第二。</w:t>
      </w:r>
    </w:p>
    <w:p w:rsidR="00CE1C1D" w:rsidRDefault="00C51615">
      <w:pPr>
        <w:spacing w:line="560" w:lineRule="exact"/>
        <w:ind w:firstLineChars="200" w:firstLine="640"/>
        <w:rPr>
          <w:rFonts w:ascii="楷体" w:eastAsia="楷体" w:hAnsi="楷体" w:cs="楷体"/>
          <w:bCs/>
          <w:sz w:val="32"/>
          <w:szCs w:val="32"/>
        </w:rPr>
      </w:pPr>
      <w:r>
        <w:rPr>
          <w:rFonts w:ascii="楷体" w:eastAsia="楷体" w:hAnsi="楷体" w:cs="楷体" w:hint="eastAsia"/>
          <w:bCs/>
          <w:sz w:val="32"/>
          <w:szCs w:val="20"/>
        </w:rPr>
        <w:t>（二）以项目为王，</w:t>
      </w:r>
      <w:r>
        <w:rPr>
          <w:rFonts w:ascii="楷体" w:eastAsia="楷体" w:hAnsi="楷体" w:cs="楷体" w:hint="eastAsia"/>
          <w:color w:val="000000"/>
          <w:sz w:val="32"/>
          <w:szCs w:val="32"/>
        </w:rPr>
        <w:t>举全力推进重点项目建设</w:t>
      </w:r>
    </w:p>
    <w:p w:rsidR="00CE1C1D" w:rsidRDefault="00C51615">
      <w:pPr>
        <w:spacing w:line="560" w:lineRule="exact"/>
        <w:ind w:firstLineChars="200" w:firstLine="643"/>
        <w:rPr>
          <w:rFonts w:ascii="仿宋" w:eastAsia="仿宋" w:hAnsi="仿宋" w:cs="仿宋"/>
          <w:bCs/>
          <w:sz w:val="32"/>
          <w:szCs w:val="32"/>
        </w:rPr>
      </w:pPr>
      <w:r>
        <w:rPr>
          <w:rFonts w:ascii="仿宋" w:eastAsia="仿宋" w:hAnsi="仿宋" w:cs="仿宋" w:hint="eastAsia"/>
          <w:b/>
          <w:bCs/>
          <w:sz w:val="32"/>
          <w:szCs w:val="20"/>
        </w:rPr>
        <w:t>一是提质升级城乡污水处理设施。</w:t>
      </w:r>
      <w:r>
        <w:rPr>
          <w:rFonts w:ascii="仿宋" w:eastAsia="仿宋" w:hAnsi="仿宋" w:cs="仿宋" w:hint="eastAsia"/>
          <w:bCs/>
          <w:sz w:val="32"/>
          <w:szCs w:val="32"/>
        </w:rPr>
        <w:t>完成华茂污水处理厂提标扩容改造工程建设及入河排污口“一口一策”整治方案的编制，正在进行初步设计并对项目进行有效包装，申请超长期国债资金。</w:t>
      </w:r>
      <w:r>
        <w:rPr>
          <w:rFonts w:ascii="仿宋" w:eastAsia="仿宋" w:hAnsi="仿宋" w:cs="仿宋" w:hint="eastAsia"/>
          <w:sz w:val="32"/>
          <w:szCs w:val="32"/>
        </w:rPr>
        <w:t>完成8</w:t>
      </w:r>
      <w:r>
        <w:rPr>
          <w:rFonts w:ascii="仿宋" w:eastAsia="仿宋" w:hAnsi="仿宋" w:cs="仿宋" w:hint="eastAsia"/>
          <w:color w:val="000000"/>
          <w:sz w:val="32"/>
          <w:szCs w:val="32"/>
        </w:rPr>
        <w:t>个建制镇污水处理入户接驳管网建设28km、雨污分流管道建设7.3km。</w:t>
      </w:r>
      <w:r>
        <w:rPr>
          <w:rFonts w:ascii="仿宋" w:eastAsia="仿宋" w:hAnsi="仿宋" w:cs="仿宋" w:hint="eastAsia"/>
          <w:bCs/>
          <w:sz w:val="32"/>
          <w:szCs w:val="32"/>
        </w:rPr>
        <w:t>铺设污水收集管网91.28公里，污水处理系统工程PPP项目基本建成，司门前镇等13个乡镇污水处理厂及配套管网全面竣工并投入运行，总处理规模达到12300吨/天。配套建成城西、城东污水管网13.9公里，城西污水处理</w:t>
      </w:r>
      <w:proofErr w:type="gramStart"/>
      <w:r>
        <w:rPr>
          <w:rFonts w:ascii="仿宋" w:eastAsia="仿宋" w:hAnsi="仿宋" w:cs="仿宋" w:hint="eastAsia"/>
          <w:bCs/>
          <w:sz w:val="32"/>
          <w:szCs w:val="32"/>
        </w:rPr>
        <w:t>厂全面</w:t>
      </w:r>
      <w:proofErr w:type="gramEnd"/>
      <w:r>
        <w:rPr>
          <w:rFonts w:ascii="仿宋" w:eastAsia="仿宋" w:hAnsi="仿宋" w:cs="仿宋" w:hint="eastAsia"/>
          <w:bCs/>
          <w:sz w:val="32"/>
          <w:szCs w:val="32"/>
        </w:rPr>
        <w:t>竣工进入试运行，新增污水处理能力2.73万吨/天。</w:t>
      </w:r>
    </w:p>
    <w:p w:rsidR="00CE1C1D" w:rsidRDefault="00C51615">
      <w:pPr>
        <w:spacing w:line="560" w:lineRule="exact"/>
        <w:ind w:firstLineChars="200" w:firstLine="643"/>
        <w:rPr>
          <w:rFonts w:ascii="仿宋" w:eastAsia="仿宋" w:hAnsi="仿宋" w:cs="仿宋"/>
          <w:bCs/>
          <w:sz w:val="32"/>
          <w:szCs w:val="32"/>
        </w:rPr>
      </w:pPr>
      <w:r>
        <w:rPr>
          <w:rFonts w:ascii="仿宋" w:eastAsia="仿宋" w:hAnsi="仿宋" w:cs="仿宋" w:hint="eastAsia"/>
          <w:b/>
          <w:bCs/>
          <w:color w:val="000000"/>
          <w:sz w:val="32"/>
          <w:szCs w:val="32"/>
        </w:rPr>
        <w:lastRenderedPageBreak/>
        <w:t>二是</w:t>
      </w:r>
      <w:r>
        <w:rPr>
          <w:rFonts w:ascii="仿宋" w:eastAsia="仿宋" w:hAnsi="仿宋" w:cs="仿宋" w:hint="eastAsia"/>
          <w:b/>
          <w:bCs/>
          <w:sz w:val="32"/>
          <w:szCs w:val="20"/>
        </w:rPr>
        <w:t>统筹城乡基础设施建设</w:t>
      </w:r>
      <w:r>
        <w:rPr>
          <w:rFonts w:ascii="仿宋" w:eastAsia="仿宋" w:hAnsi="仿宋" w:cs="仿宋" w:hint="eastAsia"/>
          <w:b/>
          <w:bCs/>
          <w:sz w:val="32"/>
          <w:szCs w:val="32"/>
        </w:rPr>
        <w:t>。</w:t>
      </w:r>
      <w:r>
        <w:rPr>
          <w:rFonts w:ascii="仿宋" w:eastAsia="仿宋" w:hAnsi="仿宋" w:cs="仿宋" w:hint="eastAsia"/>
          <w:color w:val="000000"/>
          <w:sz w:val="32"/>
          <w:szCs w:val="32"/>
        </w:rPr>
        <w:t>完成老旧小区改造13个项目15个小区，实施危旧房屋改造项目2个。建设保障性住房154套。</w:t>
      </w:r>
      <w:r>
        <w:rPr>
          <w:rFonts w:ascii="仿宋" w:eastAsia="仿宋" w:hAnsi="仿宋" w:cs="仿宋" w:hint="eastAsia"/>
          <w:bCs/>
          <w:sz w:val="32"/>
          <w:szCs w:val="32"/>
        </w:rPr>
        <w:t>完成九龙路排水防涝改造工程。合龙、资江、百里花溪等5处社会综合停车场已全部开工建设。</w:t>
      </w:r>
      <w:r>
        <w:rPr>
          <w:rFonts w:ascii="仿宋" w:eastAsia="仿宋" w:hAnsi="仿宋" w:cs="仿宋" w:hint="eastAsia"/>
          <w:color w:val="000000"/>
          <w:sz w:val="32"/>
          <w:szCs w:val="32"/>
        </w:rPr>
        <w:t>投资400余万元完成县委大院、紫霞路、大院里弄子、万和花园等10个老旧供水管网改造项目，改造总长度6KM。上半年</w:t>
      </w:r>
      <w:r>
        <w:rPr>
          <w:rFonts w:ascii="仿宋" w:eastAsia="仿宋" w:hAnsi="仿宋" w:cs="仿宋" w:hint="eastAsia"/>
          <w:bCs/>
          <w:sz w:val="32"/>
          <w:szCs w:val="32"/>
        </w:rPr>
        <w:t>完成危旧燃气管网改造36.85公里，完成新建燃气管网36.036公里，完成户内燃气设施改造1166户。</w:t>
      </w:r>
      <w:r>
        <w:rPr>
          <w:rFonts w:ascii="仿宋_GB2312" w:eastAsia="仿宋_GB2312" w:hAnsi="仿宋_GB2312" w:cs="仿宋_GB2312" w:hint="eastAsia"/>
          <w:sz w:val="32"/>
          <w:szCs w:val="32"/>
        </w:rPr>
        <w:t>完成《隆回县城市地下管网与综合管廊建设改造实施方案（2024-2028）》的编制，</w:t>
      </w:r>
      <w:proofErr w:type="gramStart"/>
      <w:r>
        <w:rPr>
          <w:rFonts w:ascii="仿宋_GB2312" w:eastAsia="仿宋_GB2312" w:hAnsi="仿宋_GB2312" w:cs="仿宋_GB2312" w:hint="eastAsia"/>
          <w:sz w:val="32"/>
          <w:szCs w:val="32"/>
        </w:rPr>
        <w:t>省发改</w:t>
      </w:r>
      <w:proofErr w:type="gramEnd"/>
      <w:r>
        <w:rPr>
          <w:rFonts w:ascii="仿宋_GB2312" w:eastAsia="仿宋_GB2312" w:hAnsi="仿宋_GB2312" w:cs="仿宋_GB2312" w:hint="eastAsia"/>
          <w:sz w:val="32"/>
          <w:szCs w:val="32"/>
        </w:rPr>
        <w:t>委已审核通过，</w:t>
      </w:r>
      <w:proofErr w:type="gramStart"/>
      <w:r>
        <w:rPr>
          <w:rFonts w:ascii="仿宋_GB2312" w:eastAsia="仿宋_GB2312" w:hAnsi="仿宋_GB2312" w:cs="仿宋_GB2312" w:hint="eastAsia"/>
          <w:sz w:val="32"/>
          <w:szCs w:val="32"/>
        </w:rPr>
        <w:t>国家发改委</w:t>
      </w:r>
      <w:proofErr w:type="gramEnd"/>
      <w:r>
        <w:rPr>
          <w:rFonts w:ascii="仿宋_GB2312" w:eastAsia="仿宋_GB2312" w:hAnsi="仿宋_GB2312" w:cs="仿宋_GB2312" w:hint="eastAsia"/>
          <w:sz w:val="32"/>
          <w:szCs w:val="32"/>
        </w:rPr>
        <w:t>正在评审。</w:t>
      </w:r>
    </w:p>
    <w:p w:rsidR="00CE1C1D" w:rsidRDefault="00C51615">
      <w:pPr>
        <w:spacing w:line="560" w:lineRule="exact"/>
        <w:ind w:firstLineChars="200" w:firstLine="643"/>
        <w:jc w:val="left"/>
        <w:rPr>
          <w:rFonts w:ascii="仿宋" w:eastAsia="仿宋" w:hAnsi="仿宋" w:cs="仿宋"/>
          <w:bCs/>
          <w:sz w:val="32"/>
          <w:szCs w:val="32"/>
        </w:rPr>
      </w:pPr>
      <w:r>
        <w:rPr>
          <w:rFonts w:ascii="仿宋" w:eastAsia="仿宋" w:hAnsi="仿宋" w:cs="仿宋" w:hint="eastAsia"/>
          <w:b/>
          <w:bCs/>
          <w:sz w:val="32"/>
          <w:szCs w:val="20"/>
        </w:rPr>
        <w:t>三是乡村振兴成果巩固提升。</w:t>
      </w:r>
      <w:r>
        <w:rPr>
          <w:rFonts w:ascii="仿宋" w:eastAsia="仿宋" w:hAnsi="仿宋" w:cs="仿宋" w:hint="eastAsia"/>
          <w:sz w:val="32"/>
          <w:szCs w:val="32"/>
        </w:rPr>
        <w:t>全年完成农村危房改造58户，竣工率100%，完成资金拨付94.1万元。</w:t>
      </w:r>
      <w:r>
        <w:rPr>
          <w:rFonts w:ascii="仿宋" w:eastAsia="仿宋" w:hAnsi="仿宋" w:cs="仿宋" w:hint="eastAsia"/>
          <w:bCs/>
          <w:sz w:val="32"/>
          <w:szCs w:val="32"/>
        </w:rPr>
        <w:t>对司门前镇、滩头镇、罗洪镇三个历史名镇和虎形山瑶族</w:t>
      </w:r>
      <w:proofErr w:type="gramStart"/>
      <w:r>
        <w:rPr>
          <w:rFonts w:ascii="仿宋" w:eastAsia="仿宋" w:hAnsi="仿宋" w:cs="仿宋" w:hint="eastAsia"/>
          <w:bCs/>
          <w:sz w:val="32"/>
          <w:szCs w:val="32"/>
        </w:rPr>
        <w:t>乡崇木凼</w:t>
      </w:r>
      <w:proofErr w:type="gramEnd"/>
      <w:r>
        <w:rPr>
          <w:rFonts w:ascii="仿宋" w:eastAsia="仿宋" w:hAnsi="仿宋" w:cs="仿宋" w:hint="eastAsia"/>
          <w:bCs/>
          <w:sz w:val="32"/>
          <w:szCs w:val="32"/>
        </w:rPr>
        <w:t>村、山界回族乡老屋村两个历史名村开展保护编制规划工作，已完成市、县两级评审，正在</w:t>
      </w:r>
      <w:proofErr w:type="gramStart"/>
      <w:r>
        <w:rPr>
          <w:rFonts w:ascii="仿宋" w:eastAsia="仿宋" w:hAnsi="仿宋" w:cs="仿宋" w:hint="eastAsia"/>
          <w:bCs/>
          <w:sz w:val="32"/>
          <w:szCs w:val="32"/>
        </w:rPr>
        <w:t>报送省住建</w:t>
      </w:r>
      <w:proofErr w:type="gramEnd"/>
      <w:r>
        <w:rPr>
          <w:rFonts w:ascii="仿宋" w:eastAsia="仿宋" w:hAnsi="仿宋" w:cs="仿宋" w:hint="eastAsia"/>
          <w:bCs/>
          <w:sz w:val="32"/>
          <w:szCs w:val="32"/>
        </w:rPr>
        <w:t>厅进行审查。持续开展自建房安全专项整治，组织对乡镇农村新建房屋施工现场进行质量安全抽查118栋。</w:t>
      </w:r>
    </w:p>
    <w:p w:rsidR="00CE1C1D" w:rsidRDefault="00C51615">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（三）强化行业监管，质量安全形势可控</w:t>
      </w:r>
    </w:p>
    <w:p w:rsidR="00CE1C1D" w:rsidRDefault="00C5161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全年共办理房建、市政质量安全监督手续项目485个，工程</w:t>
      </w:r>
      <w:proofErr w:type="gramStart"/>
      <w:r>
        <w:rPr>
          <w:rFonts w:ascii="仿宋" w:eastAsia="仿宋" w:hAnsi="仿宋" w:cs="仿宋" w:hint="eastAsia"/>
          <w:sz w:val="32"/>
          <w:szCs w:val="32"/>
        </w:rPr>
        <w:t>受监率</w:t>
      </w:r>
      <w:proofErr w:type="gramEnd"/>
      <w:r>
        <w:rPr>
          <w:rFonts w:ascii="仿宋" w:eastAsia="仿宋" w:hAnsi="仿宋" w:cs="仿宋" w:hint="eastAsia"/>
          <w:sz w:val="32"/>
          <w:szCs w:val="32"/>
        </w:rPr>
        <w:t>100%；竣工验收房建、市政项目47个，工程合格率100%；竣工备案项目69个；建筑节能设计执行率、施工阶段实施率均达100%。</w:t>
      </w:r>
    </w:p>
    <w:p w:rsidR="00CE1C1D" w:rsidRDefault="00C51615">
      <w:pPr>
        <w:spacing w:line="560" w:lineRule="exact"/>
        <w:ind w:firstLineChars="200" w:firstLine="643"/>
        <w:rPr>
          <w:rFonts w:ascii="仿宋" w:eastAsia="仿宋" w:hAnsi="仿宋" w:cs="仿宋"/>
          <w:sz w:val="32"/>
          <w:szCs w:val="32"/>
        </w:rPr>
      </w:pPr>
      <w:r>
        <w:rPr>
          <w:rFonts w:ascii="仿宋" w:eastAsia="仿宋" w:hAnsi="仿宋" w:cs="仿宋" w:hint="eastAsia"/>
          <w:b/>
          <w:bCs/>
          <w:sz w:val="32"/>
          <w:szCs w:val="32"/>
        </w:rPr>
        <w:t>一是强化建设工程安全监督管理。</w:t>
      </w:r>
      <w:r>
        <w:rPr>
          <w:rFonts w:ascii="仿宋" w:eastAsia="仿宋" w:hAnsi="仿宋" w:cs="仿宋" w:hint="eastAsia"/>
          <w:sz w:val="32"/>
          <w:szCs w:val="32"/>
        </w:rPr>
        <w:t>印发《隆回县住房和城乡建设局安全生产监管责任分工暨督查制度责任追究制</w:t>
      </w:r>
      <w:r>
        <w:rPr>
          <w:rFonts w:ascii="仿宋" w:eastAsia="仿宋" w:hAnsi="仿宋" w:cs="仿宋" w:hint="eastAsia"/>
          <w:sz w:val="32"/>
          <w:szCs w:val="32"/>
        </w:rPr>
        <w:lastRenderedPageBreak/>
        <w:t>度》，分区域、按项目、按网点责任到人。持续开展房屋建筑和市政工程安全生产专项行动、城镇燃气隐患排查整治、</w:t>
      </w:r>
      <w:r>
        <w:rPr>
          <w:rFonts w:ascii="仿宋" w:eastAsia="仿宋" w:hAnsi="仿宋" w:cs="仿宋" w:hint="eastAsia"/>
          <w:bCs/>
          <w:sz w:val="32"/>
          <w:szCs w:val="32"/>
        </w:rPr>
        <w:t>“打非治违”专项行动，查处未取得建筑工程施工许可证擅自施工项目18个，督促整改12个，移送执法项目6个。</w:t>
      </w:r>
      <w:r>
        <w:rPr>
          <w:rFonts w:ascii="仿宋" w:eastAsia="仿宋" w:hAnsi="仿宋" w:cs="仿宋" w:hint="eastAsia"/>
          <w:sz w:val="32"/>
          <w:szCs w:val="32"/>
        </w:rPr>
        <w:t>下发质量安全隐患整改通知书357份，下发停工整改通知书30份，不良行为认定书14份，消除质量安全隐患979余处。开展安全生产培训8批次980人次。开展应急演练8批次1230人次。加强建筑工地起重机械和附着式脚手架管理，有效遏制了非生产经营性安全事故，全县建设工程和燃气生产无一般以上事故发生。</w:t>
      </w:r>
    </w:p>
    <w:p w:rsidR="00CE1C1D" w:rsidRDefault="00C51615">
      <w:pPr>
        <w:spacing w:line="560" w:lineRule="exact"/>
        <w:ind w:firstLineChars="200" w:firstLine="643"/>
        <w:rPr>
          <w:rFonts w:ascii="仿宋" w:eastAsia="仿宋" w:hAnsi="仿宋" w:cs="仿宋"/>
          <w:sz w:val="32"/>
          <w:szCs w:val="32"/>
        </w:rPr>
      </w:pPr>
      <w:r>
        <w:rPr>
          <w:rFonts w:ascii="仿宋" w:eastAsia="仿宋" w:hAnsi="仿宋" w:cs="仿宋" w:hint="eastAsia"/>
          <w:b/>
          <w:bCs/>
          <w:sz w:val="32"/>
          <w:szCs w:val="32"/>
        </w:rPr>
        <w:t>二是营商环境持续优化。</w:t>
      </w:r>
      <w:r>
        <w:rPr>
          <w:rFonts w:ascii="仿宋" w:eastAsia="仿宋" w:hAnsi="仿宋" w:cs="仿宋" w:hint="eastAsia"/>
          <w:sz w:val="32"/>
          <w:szCs w:val="32"/>
        </w:rPr>
        <w:t>深化“放管服”改革，</w:t>
      </w:r>
      <w:r>
        <w:rPr>
          <w:rFonts w:ascii="仿宋" w:eastAsia="仿宋" w:hAnsi="仿宋" w:cs="仿宋" w:hint="eastAsia"/>
          <w:bCs/>
          <w:sz w:val="32"/>
          <w:szCs w:val="32"/>
        </w:rPr>
        <w:t>深入开展“两重”“两新”送解忧专项行动。全年办理建筑许可357件，充分发挥“帮代办”作用，为道地药材等72个建设项目在省工改系统完成申报。</w:t>
      </w:r>
      <w:r>
        <w:rPr>
          <w:rFonts w:ascii="仿宋" w:eastAsia="仿宋" w:hAnsi="仿宋" w:cs="仿宋" w:hint="eastAsia"/>
          <w:b/>
          <w:sz w:val="32"/>
          <w:szCs w:val="32"/>
        </w:rPr>
        <w:t>规范招投标市场秩序。</w:t>
      </w:r>
      <w:r>
        <w:rPr>
          <w:rFonts w:ascii="仿宋" w:eastAsia="仿宋" w:hAnsi="仿宋" w:cs="仿宋" w:hint="eastAsia"/>
          <w:bCs/>
          <w:sz w:val="32"/>
          <w:szCs w:val="32"/>
        </w:rPr>
        <w:t>全年受理招投标房建市政工程项目备案50个，</w:t>
      </w:r>
      <w:r>
        <w:rPr>
          <w:rFonts w:ascii="仿宋" w:eastAsia="仿宋" w:hAnsi="仿宋" w:cs="仿宋" w:hint="eastAsia"/>
          <w:sz w:val="32"/>
          <w:szCs w:val="32"/>
        </w:rPr>
        <w:t>打击招投标领域</w:t>
      </w:r>
      <w:proofErr w:type="gramStart"/>
      <w:r>
        <w:rPr>
          <w:rFonts w:ascii="仿宋" w:eastAsia="仿宋" w:hAnsi="仿宋" w:cs="仿宋" w:hint="eastAsia"/>
          <w:sz w:val="32"/>
          <w:szCs w:val="32"/>
        </w:rPr>
        <w:t>围标串标</w:t>
      </w:r>
      <w:proofErr w:type="gramEnd"/>
      <w:r>
        <w:rPr>
          <w:rFonts w:ascii="仿宋" w:eastAsia="仿宋" w:hAnsi="仿宋" w:cs="仿宋" w:hint="eastAsia"/>
          <w:sz w:val="32"/>
          <w:szCs w:val="32"/>
        </w:rPr>
        <w:t>出借资质行为8起</w:t>
      </w:r>
      <w:r>
        <w:rPr>
          <w:rFonts w:ascii="仿宋" w:eastAsia="仿宋" w:hAnsi="仿宋" w:cs="仿宋" w:hint="eastAsia"/>
          <w:bCs/>
          <w:sz w:val="32"/>
          <w:szCs w:val="32"/>
        </w:rPr>
        <w:t>。组织召开全县建筑业高质量发展座谈会，与</w:t>
      </w:r>
      <w:proofErr w:type="gramStart"/>
      <w:r>
        <w:rPr>
          <w:rFonts w:ascii="仿宋" w:eastAsia="仿宋" w:hAnsi="仿宋" w:cs="仿宋" w:hint="eastAsia"/>
          <w:bCs/>
          <w:sz w:val="32"/>
          <w:szCs w:val="32"/>
        </w:rPr>
        <w:t>县发改局</w:t>
      </w:r>
      <w:proofErr w:type="gramEnd"/>
      <w:r>
        <w:rPr>
          <w:rFonts w:ascii="仿宋" w:eastAsia="仿宋" w:hAnsi="仿宋" w:cs="仿宋" w:hint="eastAsia"/>
          <w:bCs/>
          <w:sz w:val="32"/>
          <w:szCs w:val="32"/>
        </w:rPr>
        <w:t>、县财政局、县统计局联合下发了《关于促进隆回县建筑业高质量发展暂行办法》，助力企业拓展市场，落实助企</w:t>
      </w:r>
      <w:proofErr w:type="gramStart"/>
      <w:r>
        <w:rPr>
          <w:rFonts w:ascii="仿宋" w:eastAsia="仿宋" w:hAnsi="仿宋" w:cs="仿宋" w:hint="eastAsia"/>
          <w:bCs/>
          <w:sz w:val="32"/>
          <w:szCs w:val="32"/>
        </w:rPr>
        <w:t>纾</w:t>
      </w:r>
      <w:proofErr w:type="gramEnd"/>
      <w:r>
        <w:rPr>
          <w:rFonts w:ascii="仿宋" w:eastAsia="仿宋" w:hAnsi="仿宋" w:cs="仿宋" w:hint="eastAsia"/>
          <w:bCs/>
          <w:sz w:val="32"/>
          <w:szCs w:val="32"/>
        </w:rPr>
        <w:t>困政策，推动建筑行业转型发展，提升全县建筑企业核心竞争力。</w:t>
      </w:r>
    </w:p>
    <w:p w:rsidR="00CE1C1D" w:rsidRDefault="00C51615">
      <w:pPr>
        <w:spacing w:line="560" w:lineRule="exact"/>
        <w:ind w:firstLineChars="200" w:firstLine="643"/>
        <w:rPr>
          <w:rFonts w:ascii="仿宋" w:eastAsia="仿宋" w:hAnsi="仿宋" w:cs="仿宋"/>
          <w:bCs/>
          <w:sz w:val="32"/>
          <w:szCs w:val="32"/>
        </w:rPr>
      </w:pPr>
      <w:r>
        <w:rPr>
          <w:rFonts w:ascii="仿宋" w:eastAsia="仿宋" w:hAnsi="仿宋" w:cs="仿宋" w:hint="eastAsia"/>
          <w:b/>
          <w:sz w:val="32"/>
          <w:szCs w:val="32"/>
        </w:rPr>
        <w:t>三是严格把关消防工程验收。</w:t>
      </w:r>
      <w:r>
        <w:rPr>
          <w:rFonts w:ascii="仿宋" w:eastAsia="仿宋" w:hAnsi="仿宋" w:cs="仿宋" w:hint="eastAsia"/>
          <w:bCs/>
          <w:sz w:val="32"/>
          <w:szCs w:val="32"/>
        </w:rPr>
        <w:t>全年共受理工程消防验收和备案项目78件，特殊建设工程项目17个，处理违法行为7起，移送隆回县城市管理和综合执法局5起，乡镇2起。解决了高新区长期以来“先上车后买票”的</w:t>
      </w:r>
      <w:proofErr w:type="gramStart"/>
      <w:r>
        <w:rPr>
          <w:rFonts w:ascii="仿宋" w:eastAsia="仿宋" w:hAnsi="仿宋" w:cs="仿宋" w:hint="eastAsia"/>
          <w:bCs/>
          <w:sz w:val="32"/>
          <w:szCs w:val="32"/>
        </w:rPr>
        <w:t>厂房消防</w:t>
      </w:r>
      <w:proofErr w:type="gramEnd"/>
      <w:r>
        <w:rPr>
          <w:rFonts w:ascii="仿宋" w:eastAsia="仿宋" w:hAnsi="仿宋" w:cs="仿宋" w:hint="eastAsia"/>
          <w:bCs/>
          <w:sz w:val="32"/>
          <w:szCs w:val="32"/>
        </w:rPr>
        <w:t>未验收</w:t>
      </w:r>
      <w:r>
        <w:rPr>
          <w:rFonts w:ascii="仿宋" w:eastAsia="仿宋" w:hAnsi="仿宋" w:cs="仿宋" w:hint="eastAsia"/>
          <w:bCs/>
          <w:sz w:val="32"/>
          <w:szCs w:val="32"/>
        </w:rPr>
        <w:lastRenderedPageBreak/>
        <w:t>不能发放产权证的历史遗留问题，得到了企业的高度好评。</w:t>
      </w:r>
    </w:p>
    <w:p w:rsidR="00CE1C1D" w:rsidRDefault="00C51615">
      <w:pPr>
        <w:spacing w:line="560" w:lineRule="exact"/>
        <w:ind w:firstLineChars="200" w:firstLine="643"/>
        <w:rPr>
          <w:rFonts w:ascii="仿宋" w:eastAsia="仿宋" w:hAnsi="仿宋" w:cs="仿宋"/>
          <w:bCs/>
          <w:sz w:val="32"/>
          <w:szCs w:val="32"/>
        </w:rPr>
      </w:pPr>
      <w:r>
        <w:rPr>
          <w:rFonts w:ascii="仿宋" w:eastAsia="仿宋" w:hAnsi="仿宋" w:cs="仿宋" w:hint="eastAsia"/>
          <w:b/>
          <w:sz w:val="32"/>
          <w:szCs w:val="32"/>
        </w:rPr>
        <w:t>四是全面提升物业管理水平。</w:t>
      </w:r>
      <w:r>
        <w:rPr>
          <w:rFonts w:ascii="仿宋" w:eastAsia="仿宋" w:hAnsi="仿宋" w:cs="仿宋" w:hint="eastAsia"/>
          <w:bCs/>
          <w:sz w:val="32"/>
          <w:szCs w:val="32"/>
        </w:rPr>
        <w:t>开展创建和美小区，积极推动“两新组织”建设，推行“党支部+业委会+物业”治理机制，激活“党支部引领、业委会示范带动、居民主动参与”的共建共治共享体制，精准“把脉”，妥善化解物业公司与业主之间的矛盾纠纷，维护社会和谐稳定。</w:t>
      </w:r>
    </w:p>
    <w:p w:rsidR="00CE1C1D" w:rsidRDefault="00C51615">
      <w:pPr>
        <w:spacing w:line="520" w:lineRule="exact"/>
        <w:ind w:firstLineChars="200" w:firstLine="643"/>
        <w:rPr>
          <w:rFonts w:ascii="仿宋" w:eastAsia="仿宋" w:hAnsi="仿宋" w:cs="仿宋"/>
          <w:color w:val="000000"/>
          <w:sz w:val="32"/>
          <w:szCs w:val="32"/>
        </w:rPr>
      </w:pPr>
      <w:r>
        <w:rPr>
          <w:rFonts w:ascii="仿宋" w:eastAsia="仿宋" w:hAnsi="仿宋" w:cs="仿宋" w:hint="eastAsia"/>
          <w:b/>
          <w:sz w:val="32"/>
          <w:szCs w:val="32"/>
        </w:rPr>
        <w:t>五是供水安全保障有力。</w:t>
      </w:r>
      <w:r>
        <w:rPr>
          <w:rFonts w:ascii="仿宋" w:eastAsia="仿宋" w:hAnsi="仿宋" w:cs="仿宋" w:hint="eastAsia"/>
          <w:sz w:val="32"/>
          <w:szCs w:val="32"/>
        </w:rPr>
        <w:t>县自来水厂完成出厂水产量3350万吨，出厂水、末梢水合格率均为100%；新增用户8000余户，用户总数达124787户；供水产值达5800万元</w:t>
      </w:r>
      <w:r>
        <w:rPr>
          <w:rFonts w:ascii="仿宋" w:eastAsia="仿宋" w:hAnsi="仿宋" w:cs="仿宋" w:hint="eastAsia"/>
          <w:color w:val="000000"/>
          <w:sz w:val="32"/>
          <w:szCs w:val="32"/>
        </w:rPr>
        <w:t>。</w:t>
      </w:r>
    </w:p>
    <w:p w:rsidR="00CE1C1D" w:rsidRDefault="00C51615">
      <w:pPr>
        <w:spacing w:line="520" w:lineRule="exact"/>
        <w:ind w:firstLineChars="200" w:firstLine="643"/>
      </w:pPr>
      <w:r>
        <w:rPr>
          <w:rFonts w:ascii="仿宋" w:eastAsia="仿宋" w:hAnsi="仿宋" w:cs="仿宋" w:hint="eastAsia"/>
          <w:b/>
          <w:sz w:val="32"/>
          <w:szCs w:val="32"/>
        </w:rPr>
        <w:t>六是坚决打赢大气污染防治攻坚战。</w:t>
      </w:r>
      <w:r>
        <w:rPr>
          <w:rFonts w:ascii="仿宋" w:eastAsia="仿宋" w:hAnsi="仿宋" w:cs="仿宋" w:hint="eastAsia"/>
          <w:kern w:val="0"/>
          <w:sz w:val="32"/>
          <w:szCs w:val="32"/>
        </w:rPr>
        <w:t>强化扬尘治理监督管理，进一步落实明主体责任、属地责任、监管责任，分区域分项目实施了全体干部职工对建筑工地扬尘治理的目标管理责任制，每个工地责任监督组成员分项目每周不少于3个工作日落实项目工地现场检查，通过日常监督、巡查、检查、督查等方式督促施工单位严格落实扬尘治理“8个100%”，扬尘治理取得实效</w:t>
      </w:r>
      <w:r>
        <w:rPr>
          <w:rFonts w:ascii="仿宋" w:eastAsia="仿宋" w:hAnsi="仿宋" w:cs="仿宋" w:hint="eastAsia"/>
          <w:sz w:val="32"/>
          <w:szCs w:val="32"/>
        </w:rPr>
        <w:t>。</w:t>
      </w:r>
    </w:p>
    <w:p w:rsidR="00CE1C1D" w:rsidRDefault="00C51615">
      <w:pPr>
        <w:spacing w:line="560" w:lineRule="exact"/>
        <w:ind w:firstLineChars="200" w:firstLine="640"/>
        <w:rPr>
          <w:rFonts w:ascii="楷体" w:eastAsia="楷体" w:hAnsi="楷体" w:cs="楷体"/>
          <w:bCs/>
          <w:sz w:val="32"/>
          <w:szCs w:val="20"/>
        </w:rPr>
      </w:pPr>
      <w:r>
        <w:rPr>
          <w:rFonts w:ascii="楷体" w:eastAsia="楷体" w:hAnsi="楷体" w:cs="楷体" w:hint="eastAsia"/>
          <w:bCs/>
          <w:sz w:val="32"/>
          <w:szCs w:val="20"/>
        </w:rPr>
        <w:t>（四）</w:t>
      </w:r>
      <w:r>
        <w:rPr>
          <w:rFonts w:ascii="楷体" w:eastAsia="楷体" w:hAnsi="楷体" w:cs="楷体" w:hint="eastAsia"/>
          <w:color w:val="000000"/>
          <w:sz w:val="32"/>
          <w:szCs w:val="32"/>
        </w:rPr>
        <w:t>激发市场活力，房地产市场趋向止跌回稳</w:t>
      </w:r>
    </w:p>
    <w:p w:rsidR="00CE1C1D" w:rsidRDefault="00C51615">
      <w:pPr>
        <w:pStyle w:val="1"/>
        <w:spacing w:line="560" w:lineRule="exact"/>
        <w:ind w:firstLineChars="200" w:firstLine="640"/>
        <w:rPr>
          <w:rFonts w:ascii="仿宋" w:eastAsia="仿宋" w:hAnsi="仿宋" w:cs="仿宋"/>
          <w:bCs/>
          <w:sz w:val="32"/>
          <w:szCs w:val="32"/>
        </w:rPr>
      </w:pPr>
      <w:r>
        <w:rPr>
          <w:rFonts w:ascii="仿宋" w:eastAsia="仿宋" w:hAnsi="仿宋" w:cs="仿宋" w:hint="eastAsia"/>
          <w:sz w:val="32"/>
          <w:szCs w:val="32"/>
        </w:rPr>
        <w:t>全年</w:t>
      </w:r>
      <w:r>
        <w:rPr>
          <w:rFonts w:ascii="仿宋" w:eastAsia="仿宋" w:hAnsi="仿宋" w:cs="仿宋" w:hint="eastAsia"/>
          <w:color w:val="000000"/>
          <w:sz w:val="32"/>
          <w:szCs w:val="32"/>
        </w:rPr>
        <w:t>为5个项目核发17个预售许可证，预售许可面积14.31万平方米，</w:t>
      </w:r>
      <w:proofErr w:type="gramStart"/>
      <w:r>
        <w:rPr>
          <w:rFonts w:ascii="仿宋" w:eastAsia="仿宋" w:hAnsi="仿宋" w:cs="仿宋" w:hint="eastAsia"/>
          <w:sz w:val="32"/>
          <w:szCs w:val="32"/>
        </w:rPr>
        <w:t>商品房网签备案</w:t>
      </w:r>
      <w:proofErr w:type="gramEnd"/>
      <w:r>
        <w:rPr>
          <w:rFonts w:ascii="仿宋" w:eastAsia="仿宋" w:hAnsi="仿宋" w:cs="仿宋" w:hint="eastAsia"/>
          <w:sz w:val="32"/>
          <w:szCs w:val="32"/>
        </w:rPr>
        <w:t>登记2150套。</w:t>
      </w:r>
      <w:r>
        <w:rPr>
          <w:rFonts w:ascii="仿宋" w:eastAsia="仿宋" w:hAnsi="仿宋" w:cs="仿宋" w:hint="eastAsia"/>
          <w:bCs/>
          <w:sz w:val="32"/>
          <w:szCs w:val="32"/>
        </w:rPr>
        <w:t>成功举办了隆回县春季房地产交易线上展示会。全力推进“保交房”攻坚，全面完成</w:t>
      </w:r>
      <w:proofErr w:type="gramStart"/>
      <w:r>
        <w:rPr>
          <w:rFonts w:ascii="仿宋" w:eastAsia="仿宋" w:hAnsi="仿宋" w:cs="仿宋"/>
          <w:bCs/>
          <w:sz w:val="32"/>
          <w:szCs w:val="32"/>
        </w:rPr>
        <w:t>纳入住</w:t>
      </w:r>
      <w:proofErr w:type="gramEnd"/>
      <w:r>
        <w:rPr>
          <w:rFonts w:ascii="仿宋" w:eastAsia="仿宋" w:hAnsi="仿宋" w:cs="仿宋"/>
          <w:bCs/>
          <w:sz w:val="32"/>
          <w:szCs w:val="32"/>
        </w:rPr>
        <w:t>建部考核的4个项目791套</w:t>
      </w:r>
      <w:r>
        <w:rPr>
          <w:rFonts w:ascii="仿宋" w:eastAsia="仿宋" w:hAnsi="仿宋" w:cs="仿宋" w:hint="eastAsia"/>
          <w:bCs/>
          <w:sz w:val="32"/>
          <w:szCs w:val="32"/>
        </w:rPr>
        <w:t>保交房</w:t>
      </w:r>
      <w:r>
        <w:rPr>
          <w:rFonts w:ascii="仿宋" w:eastAsia="仿宋" w:hAnsi="仿宋" w:cs="仿宋"/>
          <w:bCs/>
          <w:sz w:val="32"/>
          <w:szCs w:val="32"/>
        </w:rPr>
        <w:t>任务</w:t>
      </w:r>
      <w:r>
        <w:rPr>
          <w:rFonts w:ascii="仿宋" w:eastAsia="仿宋" w:hAnsi="仿宋" w:cs="仿宋" w:hint="eastAsia"/>
          <w:bCs/>
          <w:sz w:val="32"/>
          <w:szCs w:val="32"/>
        </w:rPr>
        <w:t>，完成</w:t>
      </w:r>
      <w:r>
        <w:rPr>
          <w:rFonts w:ascii="仿宋" w:eastAsia="仿宋" w:hAnsi="仿宋" w:cs="仿宋"/>
          <w:bCs/>
          <w:sz w:val="32"/>
          <w:szCs w:val="32"/>
        </w:rPr>
        <w:t>未纳入考核任务8个项目2540套</w:t>
      </w:r>
      <w:r>
        <w:rPr>
          <w:rFonts w:ascii="仿宋" w:eastAsia="仿宋" w:hAnsi="仿宋" w:cs="仿宋" w:hint="eastAsia"/>
          <w:bCs/>
          <w:sz w:val="32"/>
          <w:szCs w:val="32"/>
        </w:rPr>
        <w:t>中的6</w:t>
      </w:r>
      <w:r>
        <w:rPr>
          <w:rFonts w:ascii="仿宋" w:eastAsia="仿宋" w:hAnsi="仿宋" w:cs="仿宋"/>
          <w:bCs/>
          <w:sz w:val="32"/>
          <w:szCs w:val="32"/>
        </w:rPr>
        <w:t>个项目</w:t>
      </w:r>
      <w:r>
        <w:rPr>
          <w:rFonts w:ascii="仿宋" w:eastAsia="仿宋" w:hAnsi="仿宋" w:cs="仿宋" w:hint="eastAsia"/>
          <w:bCs/>
          <w:sz w:val="32"/>
          <w:szCs w:val="32"/>
        </w:rPr>
        <w:t>2186</w:t>
      </w:r>
      <w:r>
        <w:rPr>
          <w:rFonts w:ascii="仿宋" w:eastAsia="仿宋" w:hAnsi="仿宋" w:cs="仿宋"/>
          <w:bCs/>
          <w:sz w:val="32"/>
          <w:szCs w:val="32"/>
        </w:rPr>
        <w:t>套。</w:t>
      </w:r>
      <w:r>
        <w:rPr>
          <w:rFonts w:ascii="仿宋" w:eastAsia="仿宋" w:hAnsi="仿宋" w:cs="仿宋" w:hint="eastAsia"/>
          <w:bCs/>
          <w:sz w:val="32"/>
          <w:szCs w:val="32"/>
        </w:rPr>
        <w:t>妥善处理涉房地产领域信访工作和推进房地产遗留问题处置，为</w:t>
      </w:r>
      <w:proofErr w:type="gramStart"/>
      <w:r>
        <w:rPr>
          <w:rFonts w:ascii="仿宋" w:eastAsia="仿宋" w:hAnsi="仿宋" w:cs="仿宋" w:hint="eastAsia"/>
          <w:bCs/>
          <w:sz w:val="32"/>
          <w:szCs w:val="32"/>
        </w:rPr>
        <w:t>凯</w:t>
      </w:r>
      <w:proofErr w:type="gramEnd"/>
      <w:r>
        <w:rPr>
          <w:rFonts w:ascii="仿宋" w:eastAsia="仿宋" w:hAnsi="仿宋" w:cs="仿宋" w:hint="eastAsia"/>
          <w:bCs/>
          <w:sz w:val="32"/>
          <w:szCs w:val="32"/>
        </w:rPr>
        <w:t>悦1号、东城学府、高铁馨园等项目办理不动产证2763本。</w:t>
      </w:r>
    </w:p>
    <w:p w:rsidR="00CE1C1D" w:rsidRDefault="00C51615">
      <w:pPr>
        <w:spacing w:line="560" w:lineRule="exact"/>
        <w:ind w:firstLineChars="200" w:firstLine="640"/>
        <w:jc w:val="left"/>
        <w:rPr>
          <w:rFonts w:ascii="楷体" w:eastAsia="楷体" w:hAnsi="楷体" w:cs="楷体"/>
          <w:bCs/>
          <w:sz w:val="32"/>
          <w:szCs w:val="32"/>
        </w:rPr>
      </w:pPr>
      <w:r>
        <w:rPr>
          <w:rFonts w:ascii="楷体" w:eastAsia="楷体" w:hAnsi="楷体" w:cs="楷体" w:hint="eastAsia"/>
          <w:bCs/>
          <w:color w:val="000000"/>
          <w:sz w:val="32"/>
          <w:szCs w:val="32"/>
        </w:rPr>
        <w:lastRenderedPageBreak/>
        <w:t>（五）扛</w:t>
      </w:r>
      <w:proofErr w:type="gramStart"/>
      <w:r>
        <w:rPr>
          <w:rFonts w:ascii="楷体" w:eastAsia="楷体" w:hAnsi="楷体" w:cs="楷体" w:hint="eastAsia"/>
          <w:bCs/>
          <w:color w:val="000000"/>
          <w:sz w:val="32"/>
          <w:szCs w:val="32"/>
        </w:rPr>
        <w:t>牢政治</w:t>
      </w:r>
      <w:proofErr w:type="gramEnd"/>
      <w:r>
        <w:rPr>
          <w:rFonts w:ascii="楷体" w:eastAsia="楷体" w:hAnsi="楷体" w:cs="楷体" w:hint="eastAsia"/>
          <w:bCs/>
          <w:color w:val="000000"/>
          <w:sz w:val="32"/>
          <w:szCs w:val="32"/>
        </w:rPr>
        <w:t>责任，</w:t>
      </w:r>
      <w:r>
        <w:rPr>
          <w:rFonts w:ascii="楷体" w:eastAsia="楷体" w:hAnsi="楷体" w:cs="楷体" w:hint="eastAsia"/>
          <w:bCs/>
          <w:sz w:val="32"/>
          <w:szCs w:val="32"/>
        </w:rPr>
        <w:t>专项整治成效明显</w:t>
      </w:r>
    </w:p>
    <w:p w:rsidR="00CE1C1D" w:rsidRDefault="00C51615">
      <w:pPr>
        <w:spacing w:line="560" w:lineRule="exact"/>
        <w:ind w:firstLineChars="200" w:firstLine="643"/>
        <w:jc w:val="left"/>
        <w:rPr>
          <w:rFonts w:ascii="仿宋" w:eastAsia="仿宋" w:hAnsi="仿宋" w:cs="仿宋"/>
          <w:bCs/>
          <w:sz w:val="32"/>
          <w:szCs w:val="32"/>
        </w:rPr>
      </w:pPr>
      <w:r>
        <w:rPr>
          <w:rFonts w:ascii="仿宋" w:eastAsia="仿宋" w:hAnsi="仿宋" w:cs="仿宋" w:hint="eastAsia"/>
          <w:b/>
          <w:sz w:val="32"/>
          <w:szCs w:val="32"/>
        </w:rPr>
        <w:t>一是深入推进以历年棚户区改造项目为重点的城镇保障性安居工程集中专项整治。</w:t>
      </w:r>
      <w:r>
        <w:rPr>
          <w:rFonts w:ascii="仿宋" w:eastAsia="仿宋" w:hAnsi="仿宋" w:cs="仿宋" w:hint="eastAsia"/>
          <w:bCs/>
          <w:sz w:val="32"/>
          <w:szCs w:val="32"/>
        </w:rPr>
        <w:t>认真贯彻落实习近平总书记关于洞口棚改项目问题的重要讲话精神，成立隆回县棚户区改造项目集中专项整治专班，扎实开展问题排查整改工作。2010年—2023年，我县44个棚改项目中存在问题的41个项目已全部完成整改，完成自查和</w:t>
      </w:r>
      <w:r>
        <w:rPr>
          <w:rFonts w:ascii="仿宋" w:eastAsia="仿宋" w:hAnsi="仿宋" w:cs="仿宋"/>
          <w:bCs/>
          <w:sz w:val="32"/>
          <w:szCs w:val="32"/>
        </w:rPr>
        <w:t>财政、审计核查发现的35个问题</w:t>
      </w:r>
      <w:r>
        <w:rPr>
          <w:rFonts w:ascii="仿宋" w:eastAsia="仿宋" w:hAnsi="仿宋" w:cs="仿宋" w:hint="eastAsia"/>
          <w:bCs/>
          <w:sz w:val="32"/>
          <w:szCs w:val="32"/>
        </w:rPr>
        <w:t>的整改，完成市委交叉</w:t>
      </w:r>
      <w:r>
        <w:rPr>
          <w:rFonts w:ascii="仿宋" w:eastAsia="仿宋" w:hAnsi="仿宋" w:cs="仿宋"/>
          <w:bCs/>
          <w:sz w:val="32"/>
          <w:szCs w:val="32"/>
        </w:rPr>
        <w:t>巡察反馈20个问题</w:t>
      </w:r>
      <w:r>
        <w:rPr>
          <w:rFonts w:ascii="仿宋" w:eastAsia="仿宋" w:hAnsi="仿宋" w:cs="仿宋" w:hint="eastAsia"/>
          <w:bCs/>
          <w:sz w:val="32"/>
          <w:szCs w:val="32"/>
        </w:rPr>
        <w:t>的</w:t>
      </w:r>
      <w:r>
        <w:rPr>
          <w:rFonts w:ascii="仿宋" w:eastAsia="仿宋" w:hAnsi="仿宋" w:cs="仿宋"/>
          <w:bCs/>
          <w:sz w:val="32"/>
          <w:szCs w:val="32"/>
        </w:rPr>
        <w:t>整改</w:t>
      </w:r>
      <w:r>
        <w:rPr>
          <w:rFonts w:ascii="仿宋" w:eastAsia="仿宋" w:hAnsi="仿宋" w:cs="仿宋" w:hint="eastAsia"/>
          <w:bCs/>
          <w:sz w:val="32"/>
          <w:szCs w:val="32"/>
        </w:rPr>
        <w:t>，整改率均为100%</w:t>
      </w:r>
      <w:r>
        <w:rPr>
          <w:rFonts w:ascii="仿宋" w:eastAsia="仿宋" w:hAnsi="仿宋" w:cs="仿宋"/>
          <w:bCs/>
          <w:sz w:val="32"/>
          <w:szCs w:val="32"/>
        </w:rPr>
        <w:t>。</w:t>
      </w:r>
      <w:r>
        <w:rPr>
          <w:rFonts w:ascii="仿宋" w:eastAsia="仿宋" w:hAnsi="仿宋" w:cs="仿宋" w:hint="eastAsia"/>
          <w:bCs/>
          <w:sz w:val="32"/>
          <w:szCs w:val="32"/>
        </w:rPr>
        <w:t>移送问题线索19条，其中立案12人，党纪政务处分9人，组织处理26人。召开干部职工警示教育大会，出台了《隆回县棚改问题整改十三条措施》、《隆回县棚改资金问题整改十条措施</w:t>
      </w:r>
      <w:bookmarkStart w:id="1" w:name="OLE_LINK1"/>
      <w:r>
        <w:rPr>
          <w:rFonts w:ascii="仿宋" w:eastAsia="仿宋" w:hAnsi="仿宋" w:cs="仿宋" w:hint="eastAsia"/>
          <w:bCs/>
          <w:sz w:val="32"/>
          <w:szCs w:val="32"/>
        </w:rPr>
        <w:t>》</w:t>
      </w:r>
      <w:bookmarkEnd w:id="1"/>
      <w:r>
        <w:rPr>
          <w:rFonts w:ascii="仿宋" w:eastAsia="仿宋" w:hAnsi="仿宋" w:cs="仿宋" w:hint="eastAsia"/>
          <w:bCs/>
          <w:sz w:val="32"/>
          <w:szCs w:val="32"/>
        </w:rPr>
        <w:t>、《隆回县保障性安居工程建设和管理的若干规定》等一系列文件。</w:t>
      </w:r>
    </w:p>
    <w:p w:rsidR="00CE1C1D" w:rsidRDefault="00C51615">
      <w:pPr>
        <w:pStyle w:val="20"/>
        <w:spacing w:line="560" w:lineRule="exact"/>
        <w:ind w:firstLine="643"/>
        <w:rPr>
          <w:rFonts w:ascii="仿宋" w:eastAsia="仿宋" w:hAnsi="仿宋" w:cs="仿宋"/>
          <w:szCs w:val="32"/>
        </w:rPr>
      </w:pPr>
      <w:r>
        <w:rPr>
          <w:rFonts w:ascii="仿宋" w:eastAsia="仿宋" w:hAnsi="仿宋" w:cs="仿宋" w:hint="eastAsia"/>
          <w:b/>
          <w:szCs w:val="32"/>
        </w:rPr>
        <w:t>二是持续推进自建房专项整治。</w:t>
      </w:r>
      <w:r>
        <w:rPr>
          <w:rFonts w:ascii="仿宋" w:eastAsia="仿宋" w:hAnsi="仿宋" w:cs="仿宋" w:hint="eastAsia"/>
          <w:szCs w:val="32"/>
        </w:rPr>
        <w:t>全面加强自建房、</w:t>
      </w:r>
      <w:r>
        <w:rPr>
          <w:rFonts w:ascii="仿宋" w:eastAsia="仿宋" w:hAnsi="仿宋" w:cs="仿宋" w:hint="eastAsia"/>
          <w:color w:val="000000"/>
          <w:szCs w:val="32"/>
        </w:rPr>
        <w:t>城市危旧房</w:t>
      </w:r>
      <w:r>
        <w:rPr>
          <w:rFonts w:ascii="仿宋" w:eastAsia="仿宋" w:hAnsi="仿宋" w:cs="仿宋" w:hint="eastAsia"/>
          <w:szCs w:val="32"/>
        </w:rPr>
        <w:t>安全隐患排查，扎实开展新建自建房建设质量安全监管，坚持“人不进危房、危房不进人”“带险不经营、经营不带险”原则，建立常态长效监管机制。集中开展对用作经营性快速评估的772栋自建房全部重新进行结构安全鉴定，经鉴定为C、D级结构安全隐患11栋，拆除5栋，维修加固5栋，完成整治销号11栋，销号率100%。对2486栋C、D级空心房和闲置房集中组织开展了2次巡查，拆除657栋，管控1829栋。完成了对全县重点区域居民自建房38419栋排查工作，排查存在结构安全15栋，全部完成拆除并按要求完成销号。</w:t>
      </w:r>
    </w:p>
    <w:p w:rsidR="00CE1C1D" w:rsidRDefault="00C51615">
      <w:pPr>
        <w:pStyle w:val="20"/>
        <w:spacing w:line="560" w:lineRule="exact"/>
        <w:ind w:firstLine="643"/>
        <w:rPr>
          <w:rFonts w:ascii="仿宋" w:eastAsia="仿宋" w:hAnsi="仿宋" w:cs="仿宋"/>
          <w:szCs w:val="32"/>
        </w:rPr>
      </w:pPr>
      <w:r>
        <w:rPr>
          <w:rFonts w:ascii="仿宋_GB2312" w:eastAsia="仿宋_GB2312" w:hAnsi="仿宋_GB2312" w:cs="仿宋_GB2312" w:hint="eastAsia"/>
          <w:b/>
          <w:bCs/>
          <w:szCs w:val="32"/>
        </w:rPr>
        <w:lastRenderedPageBreak/>
        <w:t>三是有力</w:t>
      </w:r>
      <w:r>
        <w:rPr>
          <w:rFonts w:ascii="仿宋" w:eastAsia="仿宋" w:hAnsi="仿宋" w:cs="仿宋" w:hint="eastAsia"/>
          <w:b/>
          <w:bCs/>
          <w:szCs w:val="32"/>
        </w:rPr>
        <w:t>推进消防安全专项整治。</w:t>
      </w:r>
      <w:r>
        <w:rPr>
          <w:rFonts w:ascii="仿宋" w:eastAsia="仿宋" w:hAnsi="仿宋" w:cs="仿宋" w:hint="eastAsia"/>
          <w:szCs w:val="32"/>
        </w:rPr>
        <w:t>针对不同类型人员密集场所，制定“一站式”排查套餐，明确各类型场所所需排查的具体内容、标准及流程，避免重复检查与遗漏。通过排查，发现隐患155处，整改隐患155处，下发整改通知40起，立案1起，处罚1起。排查出的人员密集场所隐患问题已全部整改完成。对县高新区27家企业存在厂房消防设施不全、消防验收手续未办理等历史遗留问题，采取上门服务的方式，集中力量对高新区企业一对一排查服务，制定整改方案，完成企业消防设计验收的历史遗留问题。</w:t>
      </w:r>
    </w:p>
    <w:p w:rsidR="00CE1C1D" w:rsidRDefault="00C51615">
      <w:pPr>
        <w:pStyle w:val="20"/>
        <w:numPr>
          <w:ilvl w:val="0"/>
          <w:numId w:val="2"/>
        </w:numPr>
        <w:spacing w:line="560" w:lineRule="exact"/>
        <w:ind w:firstLine="640"/>
        <w:rPr>
          <w:rFonts w:ascii="楷体" w:eastAsia="楷体" w:hAnsi="楷体" w:cs="楷体"/>
          <w:bCs/>
          <w:szCs w:val="32"/>
        </w:rPr>
      </w:pPr>
      <w:r>
        <w:rPr>
          <w:rFonts w:ascii="楷体" w:eastAsia="楷体" w:hAnsi="楷体" w:cs="楷体" w:hint="eastAsia"/>
          <w:bCs/>
          <w:szCs w:val="32"/>
        </w:rPr>
        <w:t>深化党建引领，干部队伍建设不断增强。</w:t>
      </w:r>
    </w:p>
    <w:p w:rsidR="00CE1C1D" w:rsidRDefault="00C51615">
      <w:pPr>
        <w:pStyle w:val="20"/>
        <w:spacing w:line="560" w:lineRule="exact"/>
        <w:ind w:firstLine="640"/>
        <w:rPr>
          <w:rFonts w:ascii="仿宋" w:eastAsia="仿宋" w:hAnsi="仿宋" w:cs="仿宋"/>
          <w:szCs w:val="32"/>
        </w:rPr>
      </w:pPr>
      <w:r>
        <w:rPr>
          <w:rFonts w:ascii="仿宋" w:eastAsia="仿宋" w:hAnsi="仿宋" w:cs="仿宋" w:hint="eastAsia"/>
          <w:szCs w:val="32"/>
        </w:rPr>
        <w:t>深入学习贯彻习近平新时代中国特色社会主义思想以及党的二十大、二十届三中全会精神，不断加强组织建设、党风廉政建设、作风建设，展现住建队伍新作为、新形象。持续深化党建引领城建工作，全面推进清廉住建建设，全面提升行业党建引领能力。扎实开展“明方向、立规矩、正风气、强免疫”干部队伍作风建设、群众身边不正之风和腐败问题专项整治活动，从思想源头筑牢党员干部防腐防线。</w:t>
      </w:r>
    </w:p>
    <w:p w:rsidR="00CE1C1D" w:rsidRDefault="00CE1C1D"/>
    <w:p w:rsidR="00CE1C1D" w:rsidRDefault="00C51615">
      <w:pPr>
        <w:pStyle w:val="a0"/>
        <w:numPr>
          <w:ilvl w:val="0"/>
          <w:numId w:val="3"/>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存在的问题</w:t>
      </w:r>
    </w:p>
    <w:p w:rsidR="00CE1C1D" w:rsidRDefault="00C51615">
      <w:pPr>
        <w:spacing w:line="560" w:lineRule="exact"/>
        <w:ind w:firstLineChars="200" w:firstLine="643"/>
      </w:pPr>
      <w:r>
        <w:rPr>
          <w:rFonts w:ascii="仿宋" w:eastAsia="仿宋" w:hAnsi="仿宋" w:cs="仿宋" w:hint="eastAsia"/>
          <w:b/>
          <w:bCs/>
          <w:sz w:val="32"/>
          <w:szCs w:val="32"/>
        </w:rPr>
        <w:t>一是</w:t>
      </w:r>
      <w:r>
        <w:rPr>
          <w:rFonts w:ascii="仿宋" w:eastAsia="仿宋" w:hAnsi="仿宋" w:cs="仿宋" w:hint="eastAsia"/>
          <w:sz w:val="32"/>
          <w:szCs w:val="32"/>
        </w:rPr>
        <w:t>重点项目建设资金紧缺，群工矛盾纠纷众多，协调难度大，影响项目施工进度。</w:t>
      </w:r>
      <w:r>
        <w:rPr>
          <w:rFonts w:ascii="仿宋" w:eastAsia="仿宋" w:hAnsi="仿宋" w:cs="仿宋" w:hint="eastAsia"/>
          <w:b/>
          <w:bCs/>
          <w:sz w:val="32"/>
          <w:szCs w:val="32"/>
        </w:rPr>
        <w:t>二是</w:t>
      </w:r>
      <w:r>
        <w:rPr>
          <w:rFonts w:ascii="仿宋" w:eastAsia="仿宋" w:hAnsi="仿宋" w:cs="仿宋" w:hint="eastAsia"/>
          <w:sz w:val="32"/>
          <w:szCs w:val="32"/>
        </w:rPr>
        <w:t>房地产市场整体低迷，碧桂园翘楚棠等重点保交房项目存在保交房风险。</w:t>
      </w:r>
      <w:r>
        <w:rPr>
          <w:rFonts w:ascii="仿宋" w:eastAsia="仿宋" w:hAnsi="仿宋" w:cs="仿宋" w:hint="eastAsia"/>
          <w:b/>
          <w:bCs/>
          <w:sz w:val="32"/>
          <w:szCs w:val="32"/>
        </w:rPr>
        <w:t>三是</w:t>
      </w:r>
      <w:r>
        <w:rPr>
          <w:rFonts w:ascii="仿宋" w:eastAsia="仿宋" w:hAnsi="仿宋" w:cs="仿宋" w:hint="eastAsia"/>
          <w:sz w:val="32"/>
          <w:szCs w:val="32"/>
        </w:rPr>
        <w:t>建筑业产值缺少增长潜力，向上突破压力巨大。</w:t>
      </w:r>
      <w:r>
        <w:rPr>
          <w:rFonts w:ascii="仿宋" w:eastAsia="仿宋" w:hAnsi="仿宋" w:cs="仿宋" w:hint="eastAsia"/>
          <w:b/>
          <w:bCs/>
          <w:sz w:val="32"/>
          <w:szCs w:val="32"/>
        </w:rPr>
        <w:t>四是</w:t>
      </w:r>
      <w:r>
        <w:rPr>
          <w:rFonts w:ascii="仿宋" w:eastAsia="仿宋" w:hAnsi="仿宋" w:cs="仿宋" w:hint="eastAsia"/>
          <w:sz w:val="32"/>
          <w:szCs w:val="32"/>
        </w:rPr>
        <w:t>物业管理联动协调机制不规范，物业服务企业水平不高，业主反映诉求较</w:t>
      </w:r>
      <w:r>
        <w:rPr>
          <w:rFonts w:ascii="仿宋" w:eastAsia="仿宋" w:hAnsi="仿宋" w:cs="仿宋" w:hint="eastAsia"/>
          <w:sz w:val="32"/>
          <w:szCs w:val="32"/>
        </w:rPr>
        <w:lastRenderedPageBreak/>
        <w:t>多。</w:t>
      </w:r>
    </w:p>
    <w:p w:rsidR="00CE1C1D" w:rsidRDefault="00C51615">
      <w:pPr>
        <w:pStyle w:val="a0"/>
        <w:numPr>
          <w:ilvl w:val="0"/>
          <w:numId w:val="3"/>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改进措施及有关建议</w:t>
      </w:r>
    </w:p>
    <w:p w:rsidR="00CE1C1D" w:rsidRDefault="00C51615">
      <w:pPr>
        <w:pStyle w:val="a7"/>
        <w:spacing w:before="0" w:beforeAutospacing="0" w:after="0" w:afterAutospacing="0"/>
        <w:ind w:firstLineChars="200" w:firstLine="640"/>
        <w:jc w:val="both"/>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1、细化预算编制工作，认真做好预算编制。进一步加强单位内部机构各股室的预算管理意识，严格按照预算编制的相关制度和要求进行预算编制，使绩效目标与资金预算相切合。</w:t>
      </w:r>
    </w:p>
    <w:p w:rsidR="00CE1C1D" w:rsidRDefault="00C51615">
      <w:pPr>
        <w:pStyle w:val="a7"/>
        <w:spacing w:before="0" w:beforeAutospacing="0" w:after="0" w:afterAutospacing="0"/>
        <w:ind w:firstLineChars="200" w:firstLine="640"/>
        <w:jc w:val="both"/>
        <w:rPr>
          <w:rFonts w:ascii="仿宋" w:eastAsia="仿宋" w:hAnsi="仿宋" w:cs="仿宋"/>
          <w:sz w:val="32"/>
          <w:szCs w:val="32"/>
        </w:rPr>
      </w:pPr>
      <w:r>
        <w:rPr>
          <w:rFonts w:ascii="仿宋" w:eastAsia="仿宋" w:hAnsi="仿宋" w:cs="仿宋" w:hint="eastAsia"/>
          <w:sz w:val="32"/>
          <w:szCs w:val="32"/>
          <w:shd w:val="clear" w:color="auto" w:fill="FFFFFF"/>
        </w:rPr>
        <w:t>2、加强单位财务管理，健全单位财务管理制度体系，规范单位财务行为。按照预算规定的费用项目和用途进行资金使用审核、列报支付、财务核算，杜绝超支现象的发生。</w:t>
      </w:r>
    </w:p>
    <w:p w:rsidR="00CE1C1D" w:rsidRDefault="00C51615">
      <w:pPr>
        <w:pStyle w:val="a7"/>
        <w:spacing w:before="0" w:beforeAutospacing="0" w:after="0" w:afterAutospacing="0"/>
        <w:ind w:firstLineChars="200" w:firstLine="640"/>
        <w:jc w:val="both"/>
        <w:rPr>
          <w:rFonts w:ascii="仿宋" w:eastAsia="仿宋" w:hAnsi="仿宋" w:cs="仿宋"/>
          <w:color w:val="000000" w:themeColor="text1"/>
          <w:sz w:val="32"/>
          <w:szCs w:val="32"/>
        </w:rPr>
      </w:pPr>
      <w:r>
        <w:rPr>
          <w:rFonts w:ascii="仿宋" w:eastAsia="仿宋" w:hAnsi="仿宋" w:cs="仿宋" w:hint="eastAsia"/>
          <w:sz w:val="32"/>
          <w:szCs w:val="32"/>
          <w:shd w:val="clear" w:color="auto" w:fill="FFFFFF"/>
        </w:rPr>
        <w:t>3、严格控制“三公”经费的规模和比例，把关“三公”经费支出的审核、审批，合理压缩“三公”经费支出。</w:t>
      </w:r>
    </w:p>
    <w:p w:rsidR="00CE1C1D" w:rsidRDefault="00CE1C1D"/>
    <w:p w:rsidR="00CE1C1D" w:rsidRDefault="00C51615">
      <w:pPr>
        <w:pStyle w:val="a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p>
    <w:p w:rsidR="00CE1C1D" w:rsidRDefault="00C51615">
      <w:pPr>
        <w:pStyle w:val="a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1.部门整体支出绩效评价基础数据表</w:t>
      </w:r>
    </w:p>
    <w:p w:rsidR="00CE1C1D" w:rsidRDefault="00C51615">
      <w:pPr>
        <w:pStyle w:val="a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2.部门整体支出绩效自评表</w:t>
      </w:r>
    </w:p>
    <w:p w:rsidR="00CE1C1D" w:rsidRDefault="00CE1C1D">
      <w:pPr>
        <w:spacing w:line="560" w:lineRule="exact"/>
        <w:rPr>
          <w:rFonts w:ascii="仿宋" w:eastAsia="仿宋" w:hAnsi="仿宋" w:cs="仿宋"/>
          <w:kern w:val="0"/>
          <w:sz w:val="24"/>
        </w:rPr>
      </w:pPr>
    </w:p>
    <w:p w:rsidR="00CE1C1D" w:rsidRDefault="00CE1C1D">
      <w:pPr>
        <w:spacing w:line="560" w:lineRule="exact"/>
        <w:rPr>
          <w:rFonts w:ascii="仿宋" w:eastAsia="仿宋" w:hAnsi="仿宋" w:cs="仿宋"/>
          <w:kern w:val="0"/>
          <w:sz w:val="24"/>
        </w:rPr>
      </w:pPr>
    </w:p>
    <w:p w:rsidR="00CE1C1D" w:rsidRDefault="00C51615">
      <w:pPr>
        <w:pStyle w:val="a0"/>
        <w:jc w:val="right"/>
        <w:rPr>
          <w:rFonts w:ascii="仿宋" w:eastAsia="仿宋" w:hAnsi="仿宋" w:cs="仿宋"/>
          <w:kern w:val="0"/>
          <w:sz w:val="32"/>
          <w:szCs w:val="32"/>
        </w:rPr>
      </w:pPr>
      <w:r>
        <w:rPr>
          <w:rFonts w:ascii="仿宋" w:eastAsia="仿宋" w:hAnsi="仿宋" w:cs="仿宋" w:hint="eastAsia"/>
          <w:kern w:val="0"/>
          <w:sz w:val="32"/>
          <w:szCs w:val="32"/>
        </w:rPr>
        <w:t>隆回县住房和城乡建设局</w:t>
      </w:r>
    </w:p>
    <w:p w:rsidR="00CE1C1D" w:rsidRDefault="00C51615">
      <w:pPr>
        <w:pStyle w:val="a0"/>
      </w:pPr>
      <w:r>
        <w:rPr>
          <w:rFonts w:ascii="仿宋" w:eastAsia="仿宋" w:hAnsi="仿宋" w:cs="仿宋" w:hint="eastAsia"/>
          <w:kern w:val="0"/>
          <w:sz w:val="32"/>
          <w:szCs w:val="32"/>
        </w:rPr>
        <w:t xml:space="preserve">                                    2025年4月10日</w:t>
      </w:r>
    </w:p>
    <w:p w:rsidR="00CE1C1D" w:rsidRDefault="00CE1C1D">
      <w:pPr>
        <w:spacing w:line="560" w:lineRule="exact"/>
        <w:rPr>
          <w:rFonts w:ascii="仿宋" w:eastAsia="仿宋" w:hAnsi="仿宋" w:cs="仿宋"/>
          <w:kern w:val="0"/>
          <w:sz w:val="24"/>
        </w:rPr>
      </w:pPr>
    </w:p>
    <w:p w:rsidR="00CE1C1D" w:rsidRDefault="00CE1C1D">
      <w:pPr>
        <w:spacing w:line="560" w:lineRule="exact"/>
        <w:rPr>
          <w:rFonts w:ascii="仿宋" w:eastAsia="仿宋" w:hAnsi="仿宋" w:cs="仿宋"/>
          <w:kern w:val="0"/>
          <w:sz w:val="24"/>
        </w:rPr>
      </w:pPr>
    </w:p>
    <w:p w:rsidR="00CE1C1D" w:rsidRDefault="00CE1C1D">
      <w:pPr>
        <w:spacing w:line="560" w:lineRule="exact"/>
        <w:rPr>
          <w:rFonts w:ascii="仿宋" w:eastAsia="仿宋" w:hAnsi="仿宋" w:cs="仿宋"/>
          <w:kern w:val="0"/>
          <w:sz w:val="32"/>
          <w:szCs w:val="32"/>
        </w:rPr>
        <w:sectPr w:rsidR="00CE1C1D">
          <w:headerReference w:type="default" r:id="rId8"/>
          <w:footerReference w:type="default" r:id="rId9"/>
          <w:pgSz w:w="11905" w:h="16837"/>
          <w:pgMar w:top="1440" w:right="1800" w:bottom="1440" w:left="1800" w:header="720" w:footer="992" w:gutter="0"/>
          <w:pgNumType w:fmt="numberInDash"/>
          <w:cols w:space="720"/>
          <w:docGrid w:linePitch="636" w:charSpace="20838"/>
        </w:sectPr>
      </w:pPr>
    </w:p>
    <w:p w:rsidR="00CE1C1D" w:rsidRDefault="00C51615">
      <w:pPr>
        <w:spacing w:line="600" w:lineRule="exact"/>
        <w:rPr>
          <w:rFonts w:ascii="黑体" w:eastAsia="黑体" w:hAnsi="黑体" w:cs="黑体"/>
          <w:kern w:val="0"/>
          <w:sz w:val="32"/>
          <w:szCs w:val="32"/>
        </w:rPr>
      </w:pPr>
      <w:r>
        <w:rPr>
          <w:rFonts w:ascii="黑体" w:eastAsia="黑体" w:hAnsi="黑体" w:cs="黑体" w:hint="eastAsia"/>
          <w:kern w:val="0"/>
          <w:sz w:val="32"/>
          <w:szCs w:val="32"/>
        </w:rPr>
        <w:lastRenderedPageBreak/>
        <w:t>附件3</w:t>
      </w:r>
    </w:p>
    <w:p w:rsidR="00CE1C1D" w:rsidRDefault="00C51615">
      <w:pPr>
        <w:spacing w:line="600" w:lineRule="exact"/>
        <w:jc w:val="center"/>
        <w:rPr>
          <w:rFonts w:ascii="方正大标宋简体" w:eastAsia="方正大标宋简体" w:hAnsi="方正大标宋简体" w:cs="方正大标宋简体"/>
          <w:bCs/>
          <w:kern w:val="0"/>
          <w:sz w:val="44"/>
          <w:szCs w:val="44"/>
        </w:rPr>
      </w:pPr>
      <w:r>
        <w:rPr>
          <w:rFonts w:ascii="方正大标宋简体" w:eastAsia="方正大标宋简体" w:hAnsi="方正大标宋简体" w:cs="方正大标宋简体" w:hint="eastAsia"/>
          <w:bCs/>
          <w:kern w:val="0"/>
          <w:sz w:val="44"/>
          <w:szCs w:val="44"/>
        </w:rPr>
        <w:t>部门整体支出绩效评价基础数据表</w:t>
      </w:r>
    </w:p>
    <w:tbl>
      <w:tblPr>
        <w:tblStyle w:val="a8"/>
        <w:tblpPr w:leftFromText="180" w:rightFromText="180" w:vertAnchor="text" w:tblpXSpec="center" w:tblpY="386"/>
        <w:tblOverlap w:val="never"/>
        <w:tblW w:w="9071" w:type="dxa"/>
        <w:jc w:val="center"/>
        <w:tblLayout w:type="fixed"/>
        <w:tblLook w:val="04A0"/>
      </w:tblPr>
      <w:tblGrid>
        <w:gridCol w:w="2554"/>
        <w:gridCol w:w="1055"/>
        <w:gridCol w:w="1091"/>
        <w:gridCol w:w="1251"/>
        <w:gridCol w:w="1079"/>
        <w:gridCol w:w="1129"/>
        <w:gridCol w:w="912"/>
      </w:tblGrid>
      <w:tr w:rsidR="00CE1C1D">
        <w:trPr>
          <w:trHeight w:val="431"/>
          <w:jc w:val="center"/>
        </w:trPr>
        <w:tc>
          <w:tcPr>
            <w:tcW w:w="2554" w:type="dxa"/>
            <w:vAlign w:val="center"/>
          </w:tcPr>
          <w:p w:rsidR="00CE1C1D" w:rsidRDefault="00C51615">
            <w:pPr>
              <w:pStyle w:val="20"/>
              <w:ind w:firstLineChars="0" w:firstLine="0"/>
              <w:jc w:val="center"/>
              <w:rPr>
                <w:rFonts w:ascii="仿宋" w:eastAsia="仿宋" w:hAnsi="仿宋" w:cs="仿宋"/>
                <w:kern w:val="0"/>
                <w:sz w:val="21"/>
                <w:szCs w:val="21"/>
              </w:rPr>
            </w:pPr>
            <w:r>
              <w:rPr>
                <w:rFonts w:ascii="仿宋" w:eastAsia="仿宋" w:hAnsi="仿宋" w:cs="仿宋" w:hint="eastAsia"/>
                <w:kern w:val="0"/>
                <w:sz w:val="21"/>
                <w:szCs w:val="21"/>
              </w:rPr>
              <w:t>单位名称</w:t>
            </w:r>
          </w:p>
        </w:tc>
        <w:tc>
          <w:tcPr>
            <w:tcW w:w="6517" w:type="dxa"/>
            <w:gridSpan w:val="6"/>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隆回县住房和城乡建设局</w:t>
            </w:r>
          </w:p>
        </w:tc>
      </w:tr>
      <w:tr w:rsidR="00CE1C1D">
        <w:trPr>
          <w:trHeight w:val="431"/>
          <w:jc w:val="center"/>
        </w:trPr>
        <w:tc>
          <w:tcPr>
            <w:tcW w:w="2554" w:type="dxa"/>
            <w:vMerge w:val="restart"/>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财政供养人员情况</w:t>
            </w:r>
          </w:p>
        </w:tc>
        <w:tc>
          <w:tcPr>
            <w:tcW w:w="2146"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编制数</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2024年实际在职人数</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控制率</w:t>
            </w:r>
          </w:p>
        </w:tc>
      </w:tr>
      <w:tr w:rsidR="00CE1C1D">
        <w:trPr>
          <w:trHeight w:val="321"/>
          <w:jc w:val="center"/>
        </w:trPr>
        <w:tc>
          <w:tcPr>
            <w:tcW w:w="2554" w:type="dxa"/>
            <w:vMerge/>
            <w:vAlign w:val="center"/>
          </w:tcPr>
          <w:p w:rsidR="00CE1C1D" w:rsidRDefault="00CE1C1D">
            <w:pPr>
              <w:pStyle w:val="20"/>
              <w:jc w:val="center"/>
              <w:rPr>
                <w:rFonts w:ascii="仿宋" w:eastAsia="仿宋" w:hAnsi="仿宋" w:cs="仿宋"/>
                <w:kern w:val="0"/>
                <w:sz w:val="21"/>
                <w:szCs w:val="21"/>
              </w:rPr>
            </w:pPr>
          </w:p>
        </w:tc>
        <w:tc>
          <w:tcPr>
            <w:tcW w:w="2146"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14</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21</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70%</w:t>
            </w:r>
          </w:p>
        </w:tc>
      </w:tr>
      <w:tr w:rsidR="00CE1C1D">
        <w:trPr>
          <w:trHeight w:val="90"/>
          <w:jc w:val="center"/>
        </w:trPr>
        <w:tc>
          <w:tcPr>
            <w:tcW w:w="2554" w:type="dxa"/>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经费控制情况（万元）</w:t>
            </w:r>
          </w:p>
        </w:tc>
        <w:tc>
          <w:tcPr>
            <w:tcW w:w="2146" w:type="dxa"/>
            <w:gridSpan w:val="2"/>
            <w:vAlign w:val="center"/>
          </w:tcPr>
          <w:p w:rsidR="00CE1C1D" w:rsidRDefault="00C51615">
            <w:pPr>
              <w:pStyle w:val="20"/>
              <w:ind w:firstLineChars="0" w:firstLine="0"/>
              <w:jc w:val="center"/>
              <w:rPr>
                <w:rFonts w:ascii="仿宋" w:eastAsia="仿宋" w:hAnsi="仿宋" w:cs="仿宋"/>
                <w:kern w:val="0"/>
                <w:sz w:val="21"/>
                <w:szCs w:val="21"/>
              </w:rPr>
            </w:pPr>
            <w:r>
              <w:rPr>
                <w:rFonts w:ascii="仿宋" w:eastAsia="仿宋" w:hAnsi="仿宋" w:cs="仿宋" w:hint="eastAsia"/>
                <w:kern w:val="0"/>
                <w:sz w:val="21"/>
                <w:szCs w:val="21"/>
              </w:rPr>
              <w:t>2023年决算数</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2024年预算数</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2024年决算数</w:t>
            </w:r>
          </w:p>
        </w:tc>
      </w:tr>
      <w:tr w:rsidR="00CE1C1D">
        <w:trPr>
          <w:trHeight w:val="271"/>
          <w:jc w:val="center"/>
        </w:trPr>
        <w:tc>
          <w:tcPr>
            <w:tcW w:w="2554" w:type="dxa"/>
            <w:vAlign w:val="center"/>
          </w:tcPr>
          <w:p w:rsidR="00CE1C1D" w:rsidRDefault="00C51615">
            <w:pPr>
              <w:pStyle w:val="20"/>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三公经费：</w:t>
            </w:r>
          </w:p>
        </w:tc>
        <w:tc>
          <w:tcPr>
            <w:tcW w:w="2146"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1.89</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1.2</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0.58</w:t>
            </w:r>
          </w:p>
        </w:tc>
      </w:tr>
      <w:tr w:rsidR="00CE1C1D">
        <w:trPr>
          <w:trHeight w:val="423"/>
          <w:jc w:val="center"/>
        </w:trPr>
        <w:tc>
          <w:tcPr>
            <w:tcW w:w="2554" w:type="dxa"/>
            <w:vAlign w:val="center"/>
          </w:tcPr>
          <w:p w:rsidR="00CE1C1D" w:rsidRDefault="00C51615">
            <w:pPr>
              <w:pStyle w:val="20"/>
              <w:numPr>
                <w:ilvl w:val="0"/>
                <w:numId w:val="4"/>
              </w:numPr>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公务用车购置和维护</w:t>
            </w:r>
          </w:p>
          <w:p w:rsidR="00CE1C1D" w:rsidRDefault="00C51615">
            <w:pPr>
              <w:pStyle w:val="20"/>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经费</w:t>
            </w:r>
          </w:p>
        </w:tc>
        <w:tc>
          <w:tcPr>
            <w:tcW w:w="2146" w:type="dxa"/>
            <w:gridSpan w:val="2"/>
            <w:vAlign w:val="center"/>
          </w:tcPr>
          <w:p w:rsidR="00CE1C1D" w:rsidRDefault="00CE1C1D">
            <w:pPr>
              <w:pStyle w:val="20"/>
              <w:jc w:val="center"/>
              <w:rPr>
                <w:rFonts w:ascii="仿宋" w:eastAsia="仿宋" w:hAnsi="仿宋" w:cs="仿宋"/>
                <w:kern w:val="0"/>
                <w:sz w:val="21"/>
                <w:szCs w:val="21"/>
              </w:rPr>
            </w:pPr>
          </w:p>
        </w:tc>
        <w:tc>
          <w:tcPr>
            <w:tcW w:w="2330" w:type="dxa"/>
            <w:gridSpan w:val="2"/>
            <w:vAlign w:val="center"/>
          </w:tcPr>
          <w:p w:rsidR="00CE1C1D" w:rsidRDefault="00CE1C1D">
            <w:pPr>
              <w:pStyle w:val="20"/>
              <w:jc w:val="center"/>
              <w:rPr>
                <w:rFonts w:ascii="仿宋" w:eastAsia="仿宋" w:hAnsi="仿宋" w:cs="仿宋"/>
                <w:kern w:val="0"/>
                <w:sz w:val="21"/>
                <w:szCs w:val="21"/>
              </w:rPr>
            </w:pPr>
          </w:p>
        </w:tc>
        <w:tc>
          <w:tcPr>
            <w:tcW w:w="2041" w:type="dxa"/>
            <w:gridSpan w:val="2"/>
            <w:vAlign w:val="center"/>
          </w:tcPr>
          <w:p w:rsidR="00CE1C1D" w:rsidRDefault="00CE1C1D">
            <w:pPr>
              <w:pStyle w:val="20"/>
              <w:jc w:val="center"/>
              <w:rPr>
                <w:rFonts w:ascii="仿宋" w:eastAsia="仿宋" w:hAnsi="仿宋" w:cs="仿宋"/>
                <w:kern w:val="0"/>
                <w:sz w:val="21"/>
                <w:szCs w:val="21"/>
              </w:rPr>
            </w:pPr>
          </w:p>
        </w:tc>
      </w:tr>
      <w:tr w:rsidR="00CE1C1D">
        <w:trPr>
          <w:trHeight w:val="354"/>
          <w:jc w:val="center"/>
        </w:trPr>
        <w:tc>
          <w:tcPr>
            <w:tcW w:w="2554" w:type="dxa"/>
            <w:vAlign w:val="center"/>
          </w:tcPr>
          <w:p w:rsidR="00CE1C1D" w:rsidRDefault="00C51615">
            <w:pPr>
              <w:pStyle w:val="20"/>
              <w:jc w:val="left"/>
              <w:rPr>
                <w:rFonts w:ascii="仿宋" w:eastAsia="仿宋" w:hAnsi="仿宋" w:cs="仿宋"/>
                <w:kern w:val="0"/>
                <w:sz w:val="21"/>
                <w:szCs w:val="21"/>
              </w:rPr>
            </w:pPr>
            <w:r>
              <w:rPr>
                <w:rFonts w:ascii="仿宋" w:eastAsia="仿宋" w:hAnsi="仿宋" w:cs="仿宋" w:hint="eastAsia"/>
                <w:kern w:val="0"/>
                <w:sz w:val="21"/>
                <w:szCs w:val="21"/>
              </w:rPr>
              <w:t>其中：公车购置</w:t>
            </w:r>
          </w:p>
        </w:tc>
        <w:tc>
          <w:tcPr>
            <w:tcW w:w="2146" w:type="dxa"/>
            <w:gridSpan w:val="2"/>
            <w:vAlign w:val="center"/>
          </w:tcPr>
          <w:p w:rsidR="00CE1C1D" w:rsidRDefault="00CE1C1D">
            <w:pPr>
              <w:pStyle w:val="20"/>
              <w:jc w:val="center"/>
              <w:rPr>
                <w:rFonts w:ascii="仿宋" w:eastAsia="仿宋" w:hAnsi="仿宋" w:cs="仿宋"/>
                <w:kern w:val="0"/>
                <w:sz w:val="21"/>
                <w:szCs w:val="21"/>
              </w:rPr>
            </w:pPr>
          </w:p>
        </w:tc>
        <w:tc>
          <w:tcPr>
            <w:tcW w:w="2330" w:type="dxa"/>
            <w:gridSpan w:val="2"/>
            <w:vAlign w:val="center"/>
          </w:tcPr>
          <w:p w:rsidR="00CE1C1D" w:rsidRDefault="00CE1C1D">
            <w:pPr>
              <w:pStyle w:val="20"/>
              <w:jc w:val="center"/>
              <w:rPr>
                <w:rFonts w:ascii="仿宋" w:eastAsia="仿宋" w:hAnsi="仿宋" w:cs="仿宋"/>
                <w:kern w:val="0"/>
                <w:sz w:val="21"/>
                <w:szCs w:val="21"/>
              </w:rPr>
            </w:pPr>
          </w:p>
        </w:tc>
        <w:tc>
          <w:tcPr>
            <w:tcW w:w="2041" w:type="dxa"/>
            <w:gridSpan w:val="2"/>
            <w:vAlign w:val="center"/>
          </w:tcPr>
          <w:p w:rsidR="00CE1C1D" w:rsidRDefault="00CE1C1D">
            <w:pPr>
              <w:pStyle w:val="20"/>
              <w:jc w:val="center"/>
              <w:rPr>
                <w:rFonts w:ascii="仿宋" w:eastAsia="仿宋" w:hAnsi="仿宋" w:cs="仿宋"/>
                <w:kern w:val="0"/>
                <w:sz w:val="21"/>
                <w:szCs w:val="21"/>
              </w:rPr>
            </w:pPr>
          </w:p>
        </w:tc>
      </w:tr>
      <w:tr w:rsidR="00CE1C1D">
        <w:trPr>
          <w:trHeight w:val="90"/>
          <w:jc w:val="center"/>
        </w:trPr>
        <w:tc>
          <w:tcPr>
            <w:tcW w:w="2554" w:type="dxa"/>
            <w:vAlign w:val="center"/>
          </w:tcPr>
          <w:p w:rsidR="00CE1C1D" w:rsidRDefault="00C51615">
            <w:pPr>
              <w:pStyle w:val="20"/>
              <w:jc w:val="left"/>
              <w:rPr>
                <w:rFonts w:ascii="仿宋" w:eastAsia="仿宋" w:hAnsi="仿宋" w:cs="仿宋"/>
                <w:kern w:val="0"/>
                <w:sz w:val="21"/>
                <w:szCs w:val="21"/>
              </w:rPr>
            </w:pPr>
            <w:r>
              <w:rPr>
                <w:rFonts w:ascii="仿宋" w:eastAsia="仿宋" w:hAnsi="仿宋" w:cs="仿宋" w:hint="eastAsia"/>
                <w:kern w:val="0"/>
                <w:sz w:val="21"/>
                <w:szCs w:val="21"/>
              </w:rPr>
              <w:t>公车运行维护</w:t>
            </w:r>
          </w:p>
        </w:tc>
        <w:tc>
          <w:tcPr>
            <w:tcW w:w="2146" w:type="dxa"/>
            <w:gridSpan w:val="2"/>
            <w:vAlign w:val="center"/>
          </w:tcPr>
          <w:p w:rsidR="00CE1C1D" w:rsidRDefault="00CE1C1D">
            <w:pPr>
              <w:pStyle w:val="20"/>
              <w:jc w:val="center"/>
              <w:rPr>
                <w:rFonts w:ascii="仿宋" w:eastAsia="仿宋" w:hAnsi="仿宋" w:cs="仿宋"/>
                <w:kern w:val="0"/>
                <w:sz w:val="21"/>
                <w:szCs w:val="21"/>
              </w:rPr>
            </w:pPr>
          </w:p>
        </w:tc>
        <w:tc>
          <w:tcPr>
            <w:tcW w:w="2330" w:type="dxa"/>
            <w:gridSpan w:val="2"/>
            <w:vAlign w:val="center"/>
          </w:tcPr>
          <w:p w:rsidR="00CE1C1D" w:rsidRDefault="00CE1C1D">
            <w:pPr>
              <w:pStyle w:val="20"/>
              <w:jc w:val="center"/>
              <w:rPr>
                <w:rFonts w:ascii="仿宋" w:eastAsia="仿宋" w:hAnsi="仿宋" w:cs="仿宋"/>
                <w:kern w:val="0"/>
                <w:sz w:val="21"/>
                <w:szCs w:val="21"/>
              </w:rPr>
            </w:pPr>
          </w:p>
        </w:tc>
        <w:tc>
          <w:tcPr>
            <w:tcW w:w="2041" w:type="dxa"/>
            <w:gridSpan w:val="2"/>
            <w:vAlign w:val="center"/>
          </w:tcPr>
          <w:p w:rsidR="00CE1C1D" w:rsidRDefault="00CE1C1D">
            <w:pPr>
              <w:pStyle w:val="20"/>
              <w:jc w:val="center"/>
              <w:rPr>
                <w:rFonts w:ascii="仿宋" w:eastAsia="仿宋" w:hAnsi="仿宋" w:cs="仿宋"/>
                <w:kern w:val="0"/>
                <w:sz w:val="21"/>
                <w:szCs w:val="21"/>
              </w:rPr>
            </w:pPr>
          </w:p>
        </w:tc>
      </w:tr>
      <w:tr w:rsidR="00CE1C1D">
        <w:trPr>
          <w:trHeight w:val="431"/>
          <w:jc w:val="center"/>
        </w:trPr>
        <w:tc>
          <w:tcPr>
            <w:tcW w:w="2554" w:type="dxa"/>
            <w:vAlign w:val="center"/>
          </w:tcPr>
          <w:p w:rsidR="00CE1C1D" w:rsidRDefault="00C51615">
            <w:pPr>
              <w:pStyle w:val="20"/>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2、出国经费</w:t>
            </w:r>
          </w:p>
        </w:tc>
        <w:tc>
          <w:tcPr>
            <w:tcW w:w="2146" w:type="dxa"/>
            <w:gridSpan w:val="2"/>
            <w:vAlign w:val="center"/>
          </w:tcPr>
          <w:p w:rsidR="00CE1C1D" w:rsidRDefault="00CE1C1D">
            <w:pPr>
              <w:pStyle w:val="20"/>
              <w:jc w:val="center"/>
              <w:rPr>
                <w:rFonts w:ascii="仿宋" w:eastAsia="仿宋" w:hAnsi="仿宋" w:cs="仿宋"/>
                <w:kern w:val="0"/>
                <w:sz w:val="21"/>
                <w:szCs w:val="21"/>
              </w:rPr>
            </w:pPr>
          </w:p>
        </w:tc>
        <w:tc>
          <w:tcPr>
            <w:tcW w:w="2330" w:type="dxa"/>
            <w:gridSpan w:val="2"/>
            <w:vAlign w:val="center"/>
          </w:tcPr>
          <w:p w:rsidR="00CE1C1D" w:rsidRDefault="00CE1C1D">
            <w:pPr>
              <w:pStyle w:val="20"/>
              <w:jc w:val="center"/>
              <w:rPr>
                <w:rFonts w:ascii="仿宋" w:eastAsia="仿宋" w:hAnsi="仿宋" w:cs="仿宋"/>
                <w:kern w:val="0"/>
                <w:sz w:val="21"/>
                <w:szCs w:val="21"/>
              </w:rPr>
            </w:pPr>
          </w:p>
        </w:tc>
        <w:tc>
          <w:tcPr>
            <w:tcW w:w="2041" w:type="dxa"/>
            <w:gridSpan w:val="2"/>
            <w:vAlign w:val="center"/>
          </w:tcPr>
          <w:p w:rsidR="00CE1C1D" w:rsidRDefault="00CE1C1D">
            <w:pPr>
              <w:pStyle w:val="20"/>
              <w:jc w:val="center"/>
              <w:rPr>
                <w:rFonts w:ascii="仿宋" w:eastAsia="仿宋" w:hAnsi="仿宋" w:cs="仿宋"/>
                <w:kern w:val="0"/>
                <w:sz w:val="21"/>
                <w:szCs w:val="21"/>
              </w:rPr>
            </w:pPr>
          </w:p>
        </w:tc>
      </w:tr>
      <w:tr w:rsidR="00CE1C1D">
        <w:trPr>
          <w:trHeight w:val="371"/>
          <w:jc w:val="center"/>
        </w:trPr>
        <w:tc>
          <w:tcPr>
            <w:tcW w:w="2554" w:type="dxa"/>
            <w:vAlign w:val="center"/>
          </w:tcPr>
          <w:p w:rsidR="00CE1C1D" w:rsidRDefault="00C51615">
            <w:pPr>
              <w:pStyle w:val="20"/>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3、公务接待费</w:t>
            </w:r>
          </w:p>
        </w:tc>
        <w:tc>
          <w:tcPr>
            <w:tcW w:w="2146"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1.89</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1.2</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0.58</w:t>
            </w:r>
          </w:p>
        </w:tc>
      </w:tr>
      <w:tr w:rsidR="00CE1C1D">
        <w:trPr>
          <w:trHeight w:val="329"/>
          <w:jc w:val="center"/>
        </w:trPr>
        <w:tc>
          <w:tcPr>
            <w:tcW w:w="2554" w:type="dxa"/>
            <w:vAlign w:val="center"/>
          </w:tcPr>
          <w:p w:rsidR="00CE1C1D" w:rsidRDefault="00C51615">
            <w:pPr>
              <w:pStyle w:val="20"/>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县级专项资金：</w:t>
            </w:r>
          </w:p>
        </w:tc>
        <w:tc>
          <w:tcPr>
            <w:tcW w:w="2146" w:type="dxa"/>
            <w:gridSpan w:val="2"/>
            <w:vAlign w:val="center"/>
          </w:tcPr>
          <w:p w:rsidR="00CE1C1D" w:rsidRDefault="00CE1C1D">
            <w:pPr>
              <w:pStyle w:val="20"/>
              <w:jc w:val="center"/>
              <w:rPr>
                <w:rFonts w:ascii="仿宋" w:eastAsia="仿宋" w:hAnsi="仿宋" w:cs="仿宋"/>
                <w:kern w:val="0"/>
                <w:sz w:val="21"/>
                <w:szCs w:val="21"/>
              </w:rPr>
            </w:pPr>
          </w:p>
        </w:tc>
        <w:tc>
          <w:tcPr>
            <w:tcW w:w="2330" w:type="dxa"/>
            <w:gridSpan w:val="2"/>
            <w:vAlign w:val="center"/>
          </w:tcPr>
          <w:p w:rsidR="00CE1C1D" w:rsidRDefault="00CE1C1D">
            <w:pPr>
              <w:pStyle w:val="20"/>
              <w:jc w:val="center"/>
              <w:rPr>
                <w:rFonts w:ascii="仿宋" w:eastAsia="仿宋" w:hAnsi="仿宋" w:cs="仿宋"/>
                <w:kern w:val="0"/>
                <w:sz w:val="21"/>
                <w:szCs w:val="21"/>
              </w:rPr>
            </w:pPr>
          </w:p>
        </w:tc>
        <w:tc>
          <w:tcPr>
            <w:tcW w:w="2041" w:type="dxa"/>
            <w:gridSpan w:val="2"/>
            <w:vAlign w:val="center"/>
          </w:tcPr>
          <w:p w:rsidR="00CE1C1D" w:rsidRDefault="00CE1C1D">
            <w:pPr>
              <w:pStyle w:val="20"/>
              <w:jc w:val="center"/>
              <w:rPr>
                <w:rFonts w:ascii="仿宋" w:eastAsia="仿宋" w:hAnsi="仿宋" w:cs="仿宋"/>
                <w:kern w:val="0"/>
                <w:sz w:val="21"/>
                <w:szCs w:val="21"/>
              </w:rPr>
            </w:pPr>
          </w:p>
        </w:tc>
      </w:tr>
      <w:tr w:rsidR="00CE1C1D">
        <w:trPr>
          <w:trHeight w:val="321"/>
          <w:jc w:val="center"/>
        </w:trPr>
        <w:tc>
          <w:tcPr>
            <w:tcW w:w="2554" w:type="dxa"/>
            <w:vAlign w:val="center"/>
          </w:tcPr>
          <w:p w:rsidR="00CE1C1D" w:rsidRDefault="00C51615">
            <w:pPr>
              <w:pStyle w:val="20"/>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1、业务工作经费</w:t>
            </w:r>
          </w:p>
        </w:tc>
        <w:tc>
          <w:tcPr>
            <w:tcW w:w="2146" w:type="dxa"/>
            <w:gridSpan w:val="2"/>
            <w:vAlign w:val="center"/>
          </w:tcPr>
          <w:p w:rsidR="00CE1C1D" w:rsidRDefault="00CE1C1D">
            <w:pPr>
              <w:pStyle w:val="20"/>
              <w:jc w:val="center"/>
              <w:rPr>
                <w:rFonts w:ascii="仿宋" w:eastAsia="仿宋" w:hAnsi="仿宋" w:cs="仿宋"/>
                <w:kern w:val="0"/>
                <w:sz w:val="21"/>
                <w:szCs w:val="21"/>
              </w:rPr>
            </w:pPr>
          </w:p>
        </w:tc>
        <w:tc>
          <w:tcPr>
            <w:tcW w:w="2330" w:type="dxa"/>
            <w:gridSpan w:val="2"/>
            <w:vAlign w:val="center"/>
          </w:tcPr>
          <w:p w:rsidR="00CE1C1D" w:rsidRDefault="00CE1C1D">
            <w:pPr>
              <w:pStyle w:val="20"/>
              <w:jc w:val="center"/>
              <w:rPr>
                <w:rFonts w:ascii="仿宋" w:eastAsia="仿宋" w:hAnsi="仿宋" w:cs="仿宋"/>
                <w:kern w:val="0"/>
                <w:sz w:val="21"/>
                <w:szCs w:val="21"/>
              </w:rPr>
            </w:pPr>
          </w:p>
        </w:tc>
        <w:tc>
          <w:tcPr>
            <w:tcW w:w="2041" w:type="dxa"/>
            <w:gridSpan w:val="2"/>
            <w:vAlign w:val="center"/>
          </w:tcPr>
          <w:p w:rsidR="00CE1C1D" w:rsidRDefault="00CE1C1D">
            <w:pPr>
              <w:pStyle w:val="20"/>
              <w:jc w:val="center"/>
              <w:rPr>
                <w:rFonts w:ascii="仿宋" w:eastAsia="仿宋" w:hAnsi="仿宋" w:cs="仿宋"/>
                <w:kern w:val="0"/>
                <w:sz w:val="21"/>
                <w:szCs w:val="21"/>
              </w:rPr>
            </w:pPr>
          </w:p>
        </w:tc>
      </w:tr>
      <w:tr w:rsidR="00CE1C1D">
        <w:trPr>
          <w:trHeight w:val="431"/>
          <w:jc w:val="center"/>
        </w:trPr>
        <w:tc>
          <w:tcPr>
            <w:tcW w:w="2554" w:type="dxa"/>
            <w:vAlign w:val="center"/>
          </w:tcPr>
          <w:p w:rsidR="00CE1C1D" w:rsidRDefault="00C51615">
            <w:pPr>
              <w:pStyle w:val="20"/>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2、运行维护经费</w:t>
            </w:r>
          </w:p>
        </w:tc>
        <w:tc>
          <w:tcPr>
            <w:tcW w:w="2146" w:type="dxa"/>
            <w:gridSpan w:val="2"/>
            <w:vAlign w:val="center"/>
          </w:tcPr>
          <w:p w:rsidR="00CE1C1D" w:rsidRDefault="00CE1C1D">
            <w:pPr>
              <w:pStyle w:val="20"/>
              <w:jc w:val="center"/>
              <w:rPr>
                <w:rFonts w:ascii="仿宋" w:eastAsia="仿宋" w:hAnsi="仿宋" w:cs="仿宋"/>
                <w:kern w:val="0"/>
                <w:sz w:val="21"/>
                <w:szCs w:val="21"/>
              </w:rPr>
            </w:pPr>
          </w:p>
        </w:tc>
        <w:tc>
          <w:tcPr>
            <w:tcW w:w="2330" w:type="dxa"/>
            <w:gridSpan w:val="2"/>
            <w:vAlign w:val="center"/>
          </w:tcPr>
          <w:p w:rsidR="00CE1C1D" w:rsidRDefault="00CE1C1D">
            <w:pPr>
              <w:pStyle w:val="20"/>
              <w:jc w:val="center"/>
              <w:rPr>
                <w:rFonts w:ascii="仿宋" w:eastAsia="仿宋" w:hAnsi="仿宋" w:cs="仿宋"/>
                <w:kern w:val="0"/>
                <w:sz w:val="21"/>
                <w:szCs w:val="21"/>
              </w:rPr>
            </w:pPr>
          </w:p>
        </w:tc>
        <w:tc>
          <w:tcPr>
            <w:tcW w:w="2041" w:type="dxa"/>
            <w:gridSpan w:val="2"/>
            <w:vAlign w:val="center"/>
          </w:tcPr>
          <w:p w:rsidR="00CE1C1D" w:rsidRDefault="00CE1C1D">
            <w:pPr>
              <w:pStyle w:val="20"/>
              <w:jc w:val="center"/>
              <w:rPr>
                <w:rFonts w:ascii="仿宋" w:eastAsia="仿宋" w:hAnsi="仿宋" w:cs="仿宋"/>
                <w:kern w:val="0"/>
                <w:sz w:val="21"/>
                <w:szCs w:val="21"/>
              </w:rPr>
            </w:pPr>
          </w:p>
        </w:tc>
      </w:tr>
      <w:tr w:rsidR="00CE1C1D">
        <w:trPr>
          <w:trHeight w:val="288"/>
          <w:jc w:val="center"/>
        </w:trPr>
        <w:tc>
          <w:tcPr>
            <w:tcW w:w="2554" w:type="dxa"/>
            <w:vAlign w:val="center"/>
          </w:tcPr>
          <w:p w:rsidR="00CE1C1D" w:rsidRDefault="00C51615">
            <w:pPr>
              <w:pStyle w:val="20"/>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3、其他专项资金（每个专项一行）</w:t>
            </w:r>
          </w:p>
        </w:tc>
        <w:tc>
          <w:tcPr>
            <w:tcW w:w="2146" w:type="dxa"/>
            <w:gridSpan w:val="2"/>
            <w:vAlign w:val="center"/>
          </w:tcPr>
          <w:p w:rsidR="00CE1C1D" w:rsidRDefault="00CE1C1D">
            <w:pPr>
              <w:pStyle w:val="20"/>
              <w:jc w:val="center"/>
              <w:rPr>
                <w:rFonts w:ascii="仿宋" w:eastAsia="仿宋" w:hAnsi="仿宋" w:cs="仿宋"/>
                <w:kern w:val="0"/>
                <w:sz w:val="21"/>
                <w:szCs w:val="21"/>
              </w:rPr>
            </w:pPr>
          </w:p>
        </w:tc>
        <w:tc>
          <w:tcPr>
            <w:tcW w:w="2330" w:type="dxa"/>
            <w:gridSpan w:val="2"/>
            <w:vAlign w:val="center"/>
          </w:tcPr>
          <w:p w:rsidR="00CE1C1D" w:rsidRDefault="00CE1C1D">
            <w:pPr>
              <w:pStyle w:val="20"/>
              <w:jc w:val="center"/>
              <w:rPr>
                <w:rFonts w:ascii="仿宋" w:eastAsia="仿宋" w:hAnsi="仿宋" w:cs="仿宋"/>
                <w:kern w:val="0"/>
                <w:sz w:val="21"/>
                <w:szCs w:val="21"/>
              </w:rPr>
            </w:pPr>
          </w:p>
        </w:tc>
        <w:tc>
          <w:tcPr>
            <w:tcW w:w="2041" w:type="dxa"/>
            <w:gridSpan w:val="2"/>
            <w:vAlign w:val="center"/>
          </w:tcPr>
          <w:p w:rsidR="00CE1C1D" w:rsidRDefault="00CE1C1D">
            <w:pPr>
              <w:pStyle w:val="20"/>
              <w:jc w:val="center"/>
              <w:rPr>
                <w:rFonts w:ascii="仿宋" w:eastAsia="仿宋" w:hAnsi="仿宋" w:cs="仿宋"/>
                <w:kern w:val="0"/>
                <w:sz w:val="21"/>
                <w:szCs w:val="21"/>
              </w:rPr>
            </w:pPr>
          </w:p>
        </w:tc>
      </w:tr>
      <w:tr w:rsidR="00CE1C1D">
        <w:trPr>
          <w:trHeight w:val="288"/>
          <w:jc w:val="center"/>
        </w:trPr>
        <w:tc>
          <w:tcPr>
            <w:tcW w:w="2554" w:type="dxa"/>
            <w:shd w:val="clear" w:color="auto" w:fill="auto"/>
            <w:vAlign w:val="center"/>
          </w:tcPr>
          <w:p w:rsidR="00CE1C1D" w:rsidRDefault="00C51615">
            <w:pPr>
              <w:pStyle w:val="20"/>
              <w:ind w:firstLineChars="0" w:firstLine="0"/>
              <w:jc w:val="center"/>
              <w:rPr>
                <w:rFonts w:ascii="仿宋" w:eastAsia="仿宋" w:hAnsi="仿宋" w:cs="仿宋"/>
                <w:kern w:val="0"/>
                <w:sz w:val="18"/>
                <w:szCs w:val="18"/>
              </w:rPr>
            </w:pPr>
            <w:r>
              <w:rPr>
                <w:rFonts w:ascii="仿宋" w:eastAsia="仿宋" w:hAnsi="仿宋" w:cs="仿宋" w:hint="eastAsia"/>
                <w:kern w:val="0"/>
                <w:sz w:val="18"/>
                <w:szCs w:val="18"/>
              </w:rPr>
              <w:t>城维费</w:t>
            </w:r>
          </w:p>
        </w:tc>
        <w:tc>
          <w:tcPr>
            <w:tcW w:w="2146"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303.16</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1000</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431.04</w:t>
            </w:r>
          </w:p>
        </w:tc>
      </w:tr>
      <w:tr w:rsidR="00CE1C1D">
        <w:trPr>
          <w:trHeight w:val="288"/>
          <w:jc w:val="center"/>
        </w:trPr>
        <w:tc>
          <w:tcPr>
            <w:tcW w:w="2554" w:type="dxa"/>
            <w:shd w:val="clear" w:color="auto" w:fill="auto"/>
            <w:vAlign w:val="center"/>
          </w:tcPr>
          <w:p w:rsidR="00CE1C1D" w:rsidRDefault="00C51615">
            <w:pPr>
              <w:pStyle w:val="20"/>
              <w:ind w:firstLineChars="0" w:firstLine="0"/>
              <w:jc w:val="center"/>
              <w:rPr>
                <w:rFonts w:ascii="仿宋" w:eastAsia="仿宋" w:hAnsi="仿宋" w:cs="仿宋"/>
                <w:kern w:val="0"/>
                <w:sz w:val="18"/>
                <w:szCs w:val="18"/>
              </w:rPr>
            </w:pPr>
            <w:r>
              <w:rPr>
                <w:rFonts w:ascii="仿宋" w:eastAsia="仿宋" w:hAnsi="仿宋" w:cs="仿宋" w:hint="eastAsia"/>
                <w:kern w:val="0"/>
                <w:sz w:val="18"/>
                <w:szCs w:val="18"/>
              </w:rPr>
              <w:t>城市配套费</w:t>
            </w:r>
          </w:p>
        </w:tc>
        <w:tc>
          <w:tcPr>
            <w:tcW w:w="2146"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938.18</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1200</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735.65</w:t>
            </w:r>
          </w:p>
        </w:tc>
      </w:tr>
      <w:tr w:rsidR="00CE1C1D">
        <w:trPr>
          <w:trHeight w:val="288"/>
          <w:jc w:val="center"/>
        </w:trPr>
        <w:tc>
          <w:tcPr>
            <w:tcW w:w="2554" w:type="dxa"/>
            <w:shd w:val="clear" w:color="auto" w:fill="auto"/>
            <w:vAlign w:val="center"/>
          </w:tcPr>
          <w:p w:rsidR="00CE1C1D" w:rsidRDefault="00C51615">
            <w:pPr>
              <w:pStyle w:val="20"/>
              <w:ind w:firstLineChars="0" w:firstLine="0"/>
              <w:jc w:val="center"/>
              <w:rPr>
                <w:rFonts w:ascii="仿宋" w:eastAsia="仿宋" w:hAnsi="仿宋" w:cs="仿宋"/>
                <w:kern w:val="0"/>
                <w:sz w:val="18"/>
                <w:szCs w:val="18"/>
              </w:rPr>
            </w:pPr>
            <w:r>
              <w:rPr>
                <w:rFonts w:ascii="仿宋" w:eastAsia="仿宋" w:hAnsi="仿宋" w:cs="仿宋" w:hint="eastAsia"/>
                <w:kern w:val="0"/>
                <w:sz w:val="18"/>
                <w:szCs w:val="18"/>
              </w:rPr>
              <w:t>污水处理费</w:t>
            </w:r>
          </w:p>
        </w:tc>
        <w:tc>
          <w:tcPr>
            <w:tcW w:w="2146"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1296.16</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1200</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956.16</w:t>
            </w:r>
          </w:p>
        </w:tc>
      </w:tr>
      <w:tr w:rsidR="00CE1C1D">
        <w:trPr>
          <w:trHeight w:val="431"/>
          <w:jc w:val="center"/>
        </w:trPr>
        <w:tc>
          <w:tcPr>
            <w:tcW w:w="2554" w:type="dxa"/>
            <w:vAlign w:val="center"/>
          </w:tcPr>
          <w:p w:rsidR="00CE1C1D" w:rsidRDefault="00C51615">
            <w:pPr>
              <w:pStyle w:val="20"/>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4.中央、省、市专项资金</w:t>
            </w:r>
          </w:p>
        </w:tc>
        <w:tc>
          <w:tcPr>
            <w:tcW w:w="2146"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294.88</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7882</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4762.18</w:t>
            </w:r>
          </w:p>
        </w:tc>
      </w:tr>
      <w:tr w:rsidR="00CE1C1D">
        <w:trPr>
          <w:trHeight w:val="311"/>
          <w:jc w:val="center"/>
        </w:trPr>
        <w:tc>
          <w:tcPr>
            <w:tcW w:w="2554" w:type="dxa"/>
            <w:vAlign w:val="center"/>
          </w:tcPr>
          <w:p w:rsidR="00CE1C1D" w:rsidRDefault="00C51615">
            <w:pPr>
              <w:pStyle w:val="20"/>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5、其他支出</w:t>
            </w:r>
          </w:p>
        </w:tc>
        <w:tc>
          <w:tcPr>
            <w:tcW w:w="2146"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5475.25</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4650</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3635.5</w:t>
            </w:r>
          </w:p>
        </w:tc>
      </w:tr>
      <w:tr w:rsidR="00CE1C1D">
        <w:trPr>
          <w:trHeight w:val="90"/>
          <w:jc w:val="center"/>
        </w:trPr>
        <w:tc>
          <w:tcPr>
            <w:tcW w:w="2554" w:type="dxa"/>
            <w:vAlign w:val="center"/>
          </w:tcPr>
          <w:p w:rsidR="00CE1C1D" w:rsidRDefault="00C51615">
            <w:pPr>
              <w:pStyle w:val="20"/>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公用经费</w:t>
            </w:r>
          </w:p>
        </w:tc>
        <w:tc>
          <w:tcPr>
            <w:tcW w:w="2146" w:type="dxa"/>
            <w:gridSpan w:val="2"/>
            <w:shd w:val="clear" w:color="auto" w:fill="auto"/>
            <w:vAlign w:val="center"/>
          </w:tcPr>
          <w:p w:rsidR="00CE1C1D" w:rsidRDefault="00C51615">
            <w:pPr>
              <w:pStyle w:val="20"/>
              <w:ind w:firstLine="360"/>
              <w:jc w:val="center"/>
              <w:rPr>
                <w:rFonts w:ascii="仿宋" w:eastAsia="仿宋" w:hAnsi="仿宋" w:cs="仿宋"/>
                <w:kern w:val="0"/>
                <w:sz w:val="18"/>
                <w:szCs w:val="18"/>
              </w:rPr>
            </w:pPr>
            <w:r>
              <w:rPr>
                <w:rFonts w:ascii="仿宋" w:eastAsia="仿宋" w:hAnsi="仿宋" w:cs="仿宋" w:hint="eastAsia"/>
                <w:kern w:val="0"/>
                <w:sz w:val="18"/>
                <w:szCs w:val="18"/>
              </w:rPr>
              <w:t>95.45</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34.98</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62.76</w:t>
            </w:r>
          </w:p>
        </w:tc>
      </w:tr>
      <w:tr w:rsidR="00CE1C1D">
        <w:trPr>
          <w:trHeight w:val="388"/>
          <w:jc w:val="center"/>
        </w:trPr>
        <w:tc>
          <w:tcPr>
            <w:tcW w:w="2554" w:type="dxa"/>
            <w:vAlign w:val="center"/>
          </w:tcPr>
          <w:p w:rsidR="00CE1C1D" w:rsidRDefault="00C51615">
            <w:pPr>
              <w:pStyle w:val="20"/>
              <w:jc w:val="left"/>
              <w:rPr>
                <w:rFonts w:ascii="仿宋" w:eastAsia="仿宋" w:hAnsi="仿宋" w:cs="仿宋"/>
                <w:kern w:val="0"/>
                <w:sz w:val="21"/>
                <w:szCs w:val="21"/>
              </w:rPr>
            </w:pPr>
            <w:r>
              <w:rPr>
                <w:rFonts w:ascii="仿宋" w:eastAsia="仿宋" w:hAnsi="仿宋" w:cs="仿宋" w:hint="eastAsia"/>
                <w:kern w:val="0"/>
                <w:sz w:val="21"/>
                <w:szCs w:val="21"/>
              </w:rPr>
              <w:t>其中：办公经费</w:t>
            </w:r>
          </w:p>
        </w:tc>
        <w:tc>
          <w:tcPr>
            <w:tcW w:w="2146" w:type="dxa"/>
            <w:gridSpan w:val="2"/>
            <w:shd w:val="clear" w:color="auto" w:fill="auto"/>
            <w:vAlign w:val="center"/>
          </w:tcPr>
          <w:p w:rsidR="00CE1C1D" w:rsidRDefault="00C51615">
            <w:pPr>
              <w:pStyle w:val="20"/>
              <w:ind w:firstLine="360"/>
              <w:jc w:val="center"/>
              <w:rPr>
                <w:rFonts w:ascii="仿宋" w:eastAsia="仿宋" w:hAnsi="仿宋" w:cs="仿宋"/>
                <w:kern w:val="0"/>
                <w:sz w:val="18"/>
                <w:szCs w:val="18"/>
              </w:rPr>
            </w:pPr>
            <w:r>
              <w:rPr>
                <w:rFonts w:ascii="仿宋" w:eastAsia="仿宋" w:hAnsi="仿宋" w:cs="仿宋" w:hint="eastAsia"/>
                <w:kern w:val="0"/>
                <w:sz w:val="18"/>
                <w:szCs w:val="18"/>
              </w:rPr>
              <w:t>42.84</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25.95</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51.25</w:t>
            </w:r>
          </w:p>
        </w:tc>
      </w:tr>
      <w:tr w:rsidR="00CE1C1D">
        <w:trPr>
          <w:trHeight w:val="387"/>
          <w:jc w:val="center"/>
        </w:trPr>
        <w:tc>
          <w:tcPr>
            <w:tcW w:w="2554" w:type="dxa"/>
            <w:vAlign w:val="center"/>
          </w:tcPr>
          <w:p w:rsidR="00CE1C1D" w:rsidRDefault="00C51615">
            <w:pPr>
              <w:pStyle w:val="20"/>
              <w:jc w:val="left"/>
              <w:rPr>
                <w:rFonts w:ascii="仿宋" w:eastAsia="仿宋" w:hAnsi="仿宋" w:cs="仿宋"/>
                <w:kern w:val="0"/>
                <w:sz w:val="21"/>
                <w:szCs w:val="21"/>
              </w:rPr>
            </w:pPr>
            <w:r>
              <w:rPr>
                <w:rFonts w:ascii="仿宋" w:eastAsia="仿宋" w:hAnsi="仿宋" w:cs="仿宋" w:hint="eastAsia"/>
                <w:kern w:val="0"/>
                <w:sz w:val="21"/>
                <w:szCs w:val="21"/>
              </w:rPr>
              <w:t>水费、电费、差旅费</w:t>
            </w:r>
          </w:p>
        </w:tc>
        <w:tc>
          <w:tcPr>
            <w:tcW w:w="2146" w:type="dxa"/>
            <w:gridSpan w:val="2"/>
            <w:shd w:val="clear" w:color="auto" w:fill="auto"/>
            <w:vAlign w:val="center"/>
          </w:tcPr>
          <w:p w:rsidR="00CE1C1D" w:rsidRDefault="00C51615">
            <w:pPr>
              <w:pStyle w:val="20"/>
              <w:ind w:firstLine="360"/>
              <w:jc w:val="center"/>
              <w:rPr>
                <w:rFonts w:ascii="仿宋" w:eastAsia="仿宋" w:hAnsi="仿宋" w:cs="仿宋"/>
                <w:kern w:val="0"/>
                <w:sz w:val="18"/>
                <w:szCs w:val="18"/>
              </w:rPr>
            </w:pPr>
            <w:r>
              <w:rPr>
                <w:rFonts w:ascii="仿宋" w:eastAsia="仿宋" w:hAnsi="仿宋" w:cs="仿宋" w:hint="eastAsia"/>
                <w:kern w:val="0"/>
                <w:sz w:val="18"/>
                <w:szCs w:val="18"/>
              </w:rPr>
              <w:t>13.59</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6</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10.91</w:t>
            </w:r>
          </w:p>
        </w:tc>
      </w:tr>
      <w:tr w:rsidR="00CE1C1D">
        <w:trPr>
          <w:trHeight w:val="431"/>
          <w:jc w:val="center"/>
        </w:trPr>
        <w:tc>
          <w:tcPr>
            <w:tcW w:w="2554" w:type="dxa"/>
            <w:vAlign w:val="center"/>
          </w:tcPr>
          <w:p w:rsidR="00CE1C1D" w:rsidRDefault="00C51615">
            <w:pPr>
              <w:pStyle w:val="20"/>
              <w:jc w:val="left"/>
              <w:rPr>
                <w:rFonts w:ascii="仿宋" w:eastAsia="仿宋" w:hAnsi="仿宋" w:cs="仿宋"/>
                <w:kern w:val="0"/>
                <w:sz w:val="21"/>
                <w:szCs w:val="21"/>
              </w:rPr>
            </w:pPr>
            <w:r>
              <w:rPr>
                <w:rFonts w:ascii="仿宋" w:eastAsia="仿宋" w:hAnsi="仿宋" w:cs="仿宋" w:hint="eastAsia"/>
                <w:kern w:val="0"/>
                <w:sz w:val="21"/>
                <w:szCs w:val="21"/>
              </w:rPr>
              <w:t>会议费、培训费</w:t>
            </w:r>
          </w:p>
        </w:tc>
        <w:tc>
          <w:tcPr>
            <w:tcW w:w="2146" w:type="dxa"/>
            <w:gridSpan w:val="2"/>
            <w:shd w:val="clear" w:color="auto" w:fill="auto"/>
            <w:vAlign w:val="center"/>
          </w:tcPr>
          <w:p w:rsidR="00CE1C1D" w:rsidRDefault="00C51615">
            <w:pPr>
              <w:pStyle w:val="20"/>
              <w:ind w:firstLine="360"/>
              <w:jc w:val="center"/>
              <w:rPr>
                <w:rFonts w:ascii="仿宋" w:eastAsia="仿宋" w:hAnsi="仿宋" w:cs="仿宋"/>
                <w:kern w:val="0"/>
                <w:sz w:val="18"/>
                <w:szCs w:val="18"/>
              </w:rPr>
            </w:pPr>
            <w:r>
              <w:rPr>
                <w:rFonts w:ascii="仿宋" w:eastAsia="仿宋" w:hAnsi="仿宋" w:cs="仿宋" w:hint="eastAsia"/>
                <w:kern w:val="0"/>
                <w:sz w:val="18"/>
                <w:szCs w:val="18"/>
              </w:rPr>
              <w:t>1</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3.03</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0.6</w:t>
            </w:r>
          </w:p>
        </w:tc>
      </w:tr>
      <w:tr w:rsidR="00CE1C1D">
        <w:trPr>
          <w:trHeight w:val="305"/>
          <w:jc w:val="center"/>
        </w:trPr>
        <w:tc>
          <w:tcPr>
            <w:tcW w:w="2554" w:type="dxa"/>
            <w:vAlign w:val="center"/>
          </w:tcPr>
          <w:p w:rsidR="00CE1C1D" w:rsidRDefault="00C51615">
            <w:pPr>
              <w:pStyle w:val="20"/>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政府采购金额</w:t>
            </w:r>
          </w:p>
        </w:tc>
        <w:tc>
          <w:tcPr>
            <w:tcW w:w="2146" w:type="dxa"/>
            <w:gridSpan w:val="2"/>
            <w:vAlign w:val="center"/>
          </w:tcPr>
          <w:p w:rsidR="00CE1C1D" w:rsidRDefault="00CE1C1D">
            <w:pPr>
              <w:pStyle w:val="20"/>
              <w:jc w:val="center"/>
              <w:rPr>
                <w:rFonts w:ascii="仿宋" w:eastAsia="仿宋" w:hAnsi="仿宋" w:cs="仿宋"/>
                <w:kern w:val="0"/>
                <w:sz w:val="21"/>
                <w:szCs w:val="21"/>
              </w:rPr>
            </w:pPr>
          </w:p>
        </w:tc>
        <w:tc>
          <w:tcPr>
            <w:tcW w:w="2330" w:type="dxa"/>
            <w:gridSpan w:val="2"/>
            <w:vAlign w:val="center"/>
          </w:tcPr>
          <w:p w:rsidR="00CE1C1D" w:rsidRDefault="00CE1C1D">
            <w:pPr>
              <w:pStyle w:val="20"/>
              <w:jc w:val="center"/>
              <w:rPr>
                <w:rFonts w:ascii="仿宋" w:eastAsia="仿宋" w:hAnsi="仿宋" w:cs="仿宋"/>
                <w:kern w:val="0"/>
                <w:sz w:val="21"/>
                <w:szCs w:val="21"/>
              </w:rPr>
            </w:pPr>
          </w:p>
        </w:tc>
        <w:tc>
          <w:tcPr>
            <w:tcW w:w="2041" w:type="dxa"/>
            <w:gridSpan w:val="2"/>
            <w:vAlign w:val="center"/>
          </w:tcPr>
          <w:p w:rsidR="00CE1C1D" w:rsidRDefault="00CE1C1D">
            <w:pPr>
              <w:pStyle w:val="20"/>
              <w:jc w:val="center"/>
              <w:rPr>
                <w:rFonts w:ascii="仿宋" w:eastAsia="仿宋" w:hAnsi="仿宋" w:cs="仿宋"/>
                <w:kern w:val="0"/>
                <w:sz w:val="21"/>
                <w:szCs w:val="21"/>
              </w:rPr>
            </w:pPr>
          </w:p>
        </w:tc>
      </w:tr>
      <w:tr w:rsidR="00CE1C1D">
        <w:trPr>
          <w:trHeight w:val="90"/>
          <w:jc w:val="center"/>
        </w:trPr>
        <w:tc>
          <w:tcPr>
            <w:tcW w:w="2554" w:type="dxa"/>
            <w:vAlign w:val="center"/>
          </w:tcPr>
          <w:p w:rsidR="00CE1C1D" w:rsidRDefault="00C51615">
            <w:pPr>
              <w:pStyle w:val="20"/>
              <w:ind w:firstLineChars="0" w:firstLine="0"/>
              <w:jc w:val="left"/>
              <w:rPr>
                <w:rFonts w:ascii="仿宋" w:eastAsia="仿宋" w:hAnsi="仿宋" w:cs="仿宋"/>
                <w:kern w:val="0"/>
                <w:sz w:val="21"/>
                <w:szCs w:val="21"/>
              </w:rPr>
            </w:pPr>
            <w:r>
              <w:rPr>
                <w:rFonts w:ascii="仿宋" w:eastAsia="仿宋" w:hAnsi="仿宋" w:cs="仿宋" w:hint="eastAsia"/>
                <w:kern w:val="0"/>
                <w:sz w:val="21"/>
                <w:szCs w:val="21"/>
              </w:rPr>
              <w:t>部门基本支出预算调整</w:t>
            </w:r>
          </w:p>
        </w:tc>
        <w:tc>
          <w:tcPr>
            <w:tcW w:w="2146" w:type="dxa"/>
            <w:gridSpan w:val="2"/>
            <w:vAlign w:val="center"/>
          </w:tcPr>
          <w:p w:rsidR="00CE1C1D" w:rsidRDefault="00C51615" w:rsidP="00CE1C1D">
            <w:pPr>
              <w:pStyle w:val="20"/>
              <w:ind w:firstLine="360"/>
              <w:jc w:val="center"/>
              <w:rPr>
                <w:rFonts w:ascii="仿宋" w:eastAsia="仿宋" w:hAnsi="仿宋" w:cs="仿宋"/>
                <w:kern w:val="0"/>
                <w:sz w:val="21"/>
                <w:szCs w:val="21"/>
              </w:rPr>
            </w:pPr>
            <w:r>
              <w:rPr>
                <w:rFonts w:ascii="仿宋" w:eastAsia="仿宋" w:hAnsi="仿宋" w:cs="仿宋" w:hint="eastAsia"/>
                <w:kern w:val="0"/>
                <w:sz w:val="18"/>
                <w:szCs w:val="18"/>
              </w:rPr>
              <w:t>521.69</w:t>
            </w:r>
          </w:p>
        </w:tc>
        <w:tc>
          <w:tcPr>
            <w:tcW w:w="2330"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299.1</w:t>
            </w:r>
          </w:p>
        </w:tc>
        <w:tc>
          <w:tcPr>
            <w:tcW w:w="2041" w:type="dxa"/>
            <w:gridSpan w:val="2"/>
            <w:vAlign w:val="center"/>
          </w:tcPr>
          <w:p w:rsidR="00CE1C1D" w:rsidRDefault="00C51615">
            <w:pPr>
              <w:pStyle w:val="20"/>
              <w:jc w:val="center"/>
              <w:rPr>
                <w:rFonts w:ascii="仿宋" w:eastAsia="仿宋" w:hAnsi="仿宋" w:cs="仿宋"/>
                <w:kern w:val="0"/>
                <w:sz w:val="21"/>
                <w:szCs w:val="21"/>
              </w:rPr>
            </w:pPr>
            <w:r>
              <w:rPr>
                <w:rFonts w:ascii="仿宋" w:eastAsia="仿宋" w:hAnsi="仿宋" w:cs="仿宋" w:hint="eastAsia"/>
                <w:kern w:val="0"/>
                <w:sz w:val="21"/>
                <w:szCs w:val="21"/>
              </w:rPr>
              <w:t>381.41</w:t>
            </w:r>
          </w:p>
        </w:tc>
      </w:tr>
      <w:tr w:rsidR="00CE1C1D">
        <w:trPr>
          <w:trHeight w:val="973"/>
          <w:jc w:val="center"/>
        </w:trPr>
        <w:tc>
          <w:tcPr>
            <w:tcW w:w="2554" w:type="dxa"/>
            <w:vMerge w:val="restart"/>
            <w:vAlign w:val="center"/>
          </w:tcPr>
          <w:p w:rsidR="00CE1C1D" w:rsidRDefault="00C51615">
            <w:pPr>
              <w:pStyle w:val="20"/>
              <w:ind w:left="210" w:hangingChars="100" w:hanging="210"/>
              <w:jc w:val="left"/>
              <w:rPr>
                <w:rFonts w:ascii="仿宋" w:eastAsia="仿宋" w:hAnsi="仿宋" w:cs="仿宋"/>
                <w:kern w:val="0"/>
                <w:sz w:val="21"/>
                <w:szCs w:val="21"/>
              </w:rPr>
            </w:pPr>
            <w:r>
              <w:rPr>
                <w:rFonts w:ascii="仿宋" w:eastAsia="仿宋" w:hAnsi="仿宋" w:cs="仿宋" w:hint="eastAsia"/>
                <w:kern w:val="0"/>
                <w:sz w:val="21"/>
                <w:szCs w:val="21"/>
              </w:rPr>
              <w:t>楼堂馆所控制情况（2024年完工项目）</w:t>
            </w:r>
          </w:p>
        </w:tc>
        <w:tc>
          <w:tcPr>
            <w:tcW w:w="1055" w:type="dxa"/>
            <w:vAlign w:val="center"/>
          </w:tcPr>
          <w:p w:rsidR="00CE1C1D" w:rsidRDefault="00C51615">
            <w:pPr>
              <w:pStyle w:val="20"/>
              <w:ind w:firstLineChars="0" w:firstLine="0"/>
              <w:jc w:val="center"/>
              <w:rPr>
                <w:rFonts w:ascii="仿宋" w:eastAsia="仿宋" w:hAnsi="仿宋" w:cs="仿宋"/>
                <w:kern w:val="0"/>
                <w:sz w:val="21"/>
                <w:szCs w:val="21"/>
              </w:rPr>
            </w:pPr>
            <w:r>
              <w:rPr>
                <w:rFonts w:ascii="仿宋" w:eastAsia="仿宋" w:hAnsi="仿宋" w:cs="仿宋" w:hint="eastAsia"/>
                <w:kern w:val="0"/>
                <w:sz w:val="21"/>
                <w:szCs w:val="21"/>
              </w:rPr>
              <w:t>批复规模（㎡）</w:t>
            </w:r>
          </w:p>
        </w:tc>
        <w:tc>
          <w:tcPr>
            <w:tcW w:w="1091" w:type="dxa"/>
            <w:vAlign w:val="center"/>
          </w:tcPr>
          <w:p w:rsidR="00CE1C1D" w:rsidRDefault="00C51615">
            <w:pPr>
              <w:pStyle w:val="20"/>
              <w:ind w:firstLineChars="0" w:firstLine="0"/>
              <w:jc w:val="center"/>
              <w:rPr>
                <w:rFonts w:ascii="仿宋" w:eastAsia="仿宋" w:hAnsi="仿宋" w:cs="仿宋"/>
                <w:kern w:val="0"/>
                <w:sz w:val="21"/>
                <w:szCs w:val="21"/>
              </w:rPr>
            </w:pPr>
            <w:r>
              <w:rPr>
                <w:rFonts w:ascii="仿宋" w:eastAsia="仿宋" w:hAnsi="仿宋" w:cs="仿宋" w:hint="eastAsia"/>
                <w:kern w:val="0"/>
                <w:sz w:val="21"/>
                <w:szCs w:val="21"/>
              </w:rPr>
              <w:t>实际规模（㎡）</w:t>
            </w:r>
          </w:p>
        </w:tc>
        <w:tc>
          <w:tcPr>
            <w:tcW w:w="1251" w:type="dxa"/>
            <w:vAlign w:val="center"/>
          </w:tcPr>
          <w:p w:rsidR="00CE1C1D" w:rsidRDefault="00C51615">
            <w:pPr>
              <w:pStyle w:val="20"/>
              <w:ind w:firstLineChars="0" w:firstLine="0"/>
              <w:jc w:val="center"/>
              <w:rPr>
                <w:rFonts w:ascii="仿宋" w:eastAsia="仿宋" w:hAnsi="仿宋" w:cs="仿宋"/>
                <w:kern w:val="0"/>
                <w:sz w:val="21"/>
                <w:szCs w:val="21"/>
              </w:rPr>
            </w:pPr>
            <w:r>
              <w:rPr>
                <w:rFonts w:ascii="仿宋" w:eastAsia="仿宋" w:hAnsi="仿宋" w:cs="仿宋" w:hint="eastAsia"/>
                <w:kern w:val="0"/>
                <w:sz w:val="21"/>
                <w:szCs w:val="21"/>
              </w:rPr>
              <w:t>规模控制率</w:t>
            </w:r>
          </w:p>
        </w:tc>
        <w:tc>
          <w:tcPr>
            <w:tcW w:w="1079" w:type="dxa"/>
            <w:vAlign w:val="center"/>
          </w:tcPr>
          <w:p w:rsidR="00CE1C1D" w:rsidRDefault="00C51615">
            <w:pPr>
              <w:pStyle w:val="20"/>
              <w:ind w:firstLineChars="0" w:firstLine="0"/>
              <w:jc w:val="center"/>
              <w:rPr>
                <w:rFonts w:ascii="仿宋" w:eastAsia="仿宋" w:hAnsi="仿宋" w:cs="仿宋"/>
                <w:kern w:val="0"/>
                <w:sz w:val="21"/>
                <w:szCs w:val="21"/>
              </w:rPr>
            </w:pPr>
            <w:r>
              <w:rPr>
                <w:rFonts w:ascii="仿宋" w:eastAsia="仿宋" w:hAnsi="仿宋" w:cs="仿宋" w:hint="eastAsia"/>
                <w:kern w:val="0"/>
                <w:sz w:val="21"/>
                <w:szCs w:val="21"/>
              </w:rPr>
              <w:t>预算投资（万元）</w:t>
            </w:r>
          </w:p>
        </w:tc>
        <w:tc>
          <w:tcPr>
            <w:tcW w:w="1129" w:type="dxa"/>
            <w:vAlign w:val="center"/>
          </w:tcPr>
          <w:p w:rsidR="00CE1C1D" w:rsidRDefault="00C51615">
            <w:pPr>
              <w:pStyle w:val="20"/>
              <w:ind w:firstLineChars="0" w:firstLine="0"/>
              <w:jc w:val="center"/>
              <w:rPr>
                <w:rFonts w:ascii="仿宋" w:eastAsia="仿宋" w:hAnsi="仿宋" w:cs="仿宋"/>
                <w:kern w:val="0"/>
                <w:sz w:val="21"/>
                <w:szCs w:val="21"/>
              </w:rPr>
            </w:pPr>
            <w:r>
              <w:rPr>
                <w:rFonts w:ascii="仿宋" w:eastAsia="仿宋" w:hAnsi="仿宋" w:cs="仿宋" w:hint="eastAsia"/>
                <w:kern w:val="0"/>
                <w:sz w:val="21"/>
                <w:szCs w:val="21"/>
              </w:rPr>
              <w:t>实际投资（万元）</w:t>
            </w:r>
          </w:p>
        </w:tc>
        <w:tc>
          <w:tcPr>
            <w:tcW w:w="912" w:type="dxa"/>
            <w:vAlign w:val="center"/>
          </w:tcPr>
          <w:p w:rsidR="00CE1C1D" w:rsidRDefault="00C51615">
            <w:pPr>
              <w:jc w:val="center"/>
              <w:rPr>
                <w:rFonts w:ascii="仿宋" w:eastAsia="仿宋" w:hAnsi="仿宋" w:cs="仿宋"/>
                <w:szCs w:val="21"/>
              </w:rPr>
            </w:pPr>
            <w:r>
              <w:rPr>
                <w:rFonts w:ascii="仿宋" w:eastAsia="仿宋" w:hAnsi="仿宋" w:cs="仿宋" w:hint="eastAsia"/>
                <w:kern w:val="0"/>
                <w:szCs w:val="21"/>
              </w:rPr>
              <w:t>投资概算控制率</w:t>
            </w:r>
          </w:p>
        </w:tc>
      </w:tr>
      <w:tr w:rsidR="00CE1C1D">
        <w:trPr>
          <w:trHeight w:val="321"/>
          <w:jc w:val="center"/>
        </w:trPr>
        <w:tc>
          <w:tcPr>
            <w:tcW w:w="2554" w:type="dxa"/>
            <w:vMerge/>
            <w:vAlign w:val="center"/>
          </w:tcPr>
          <w:p w:rsidR="00CE1C1D" w:rsidRDefault="00CE1C1D">
            <w:pPr>
              <w:pStyle w:val="20"/>
              <w:jc w:val="center"/>
              <w:rPr>
                <w:rFonts w:ascii="仿宋" w:eastAsia="仿宋" w:hAnsi="仿宋" w:cs="仿宋"/>
                <w:kern w:val="0"/>
                <w:sz w:val="21"/>
                <w:szCs w:val="21"/>
              </w:rPr>
            </w:pPr>
          </w:p>
        </w:tc>
        <w:tc>
          <w:tcPr>
            <w:tcW w:w="1055" w:type="dxa"/>
            <w:vAlign w:val="center"/>
          </w:tcPr>
          <w:p w:rsidR="00CE1C1D" w:rsidRDefault="00CE1C1D">
            <w:pPr>
              <w:pStyle w:val="20"/>
              <w:jc w:val="center"/>
              <w:rPr>
                <w:rFonts w:ascii="仿宋" w:eastAsia="仿宋" w:hAnsi="仿宋" w:cs="仿宋"/>
                <w:kern w:val="0"/>
                <w:sz w:val="21"/>
                <w:szCs w:val="21"/>
              </w:rPr>
            </w:pPr>
          </w:p>
        </w:tc>
        <w:tc>
          <w:tcPr>
            <w:tcW w:w="1091" w:type="dxa"/>
            <w:vAlign w:val="center"/>
          </w:tcPr>
          <w:p w:rsidR="00CE1C1D" w:rsidRDefault="00CE1C1D">
            <w:pPr>
              <w:pStyle w:val="20"/>
              <w:jc w:val="center"/>
              <w:rPr>
                <w:rFonts w:ascii="仿宋" w:eastAsia="仿宋" w:hAnsi="仿宋" w:cs="仿宋"/>
                <w:kern w:val="0"/>
                <w:sz w:val="21"/>
                <w:szCs w:val="21"/>
              </w:rPr>
            </w:pPr>
          </w:p>
        </w:tc>
        <w:tc>
          <w:tcPr>
            <w:tcW w:w="1251" w:type="dxa"/>
            <w:vAlign w:val="center"/>
          </w:tcPr>
          <w:p w:rsidR="00CE1C1D" w:rsidRDefault="00CE1C1D">
            <w:pPr>
              <w:pStyle w:val="20"/>
              <w:jc w:val="center"/>
              <w:rPr>
                <w:rFonts w:ascii="仿宋" w:eastAsia="仿宋" w:hAnsi="仿宋" w:cs="仿宋"/>
                <w:kern w:val="0"/>
                <w:sz w:val="21"/>
                <w:szCs w:val="21"/>
              </w:rPr>
            </w:pPr>
          </w:p>
        </w:tc>
        <w:tc>
          <w:tcPr>
            <w:tcW w:w="1079" w:type="dxa"/>
            <w:vAlign w:val="center"/>
          </w:tcPr>
          <w:p w:rsidR="00CE1C1D" w:rsidRDefault="00CE1C1D">
            <w:pPr>
              <w:pStyle w:val="20"/>
              <w:jc w:val="center"/>
              <w:rPr>
                <w:rFonts w:ascii="仿宋" w:eastAsia="仿宋" w:hAnsi="仿宋" w:cs="仿宋"/>
                <w:kern w:val="0"/>
                <w:sz w:val="21"/>
                <w:szCs w:val="21"/>
              </w:rPr>
            </w:pPr>
          </w:p>
        </w:tc>
        <w:tc>
          <w:tcPr>
            <w:tcW w:w="1129" w:type="dxa"/>
            <w:vAlign w:val="center"/>
          </w:tcPr>
          <w:p w:rsidR="00CE1C1D" w:rsidRDefault="00CE1C1D">
            <w:pPr>
              <w:pStyle w:val="20"/>
              <w:jc w:val="center"/>
              <w:rPr>
                <w:rFonts w:ascii="仿宋" w:eastAsia="仿宋" w:hAnsi="仿宋" w:cs="仿宋"/>
                <w:kern w:val="0"/>
                <w:sz w:val="21"/>
                <w:szCs w:val="21"/>
              </w:rPr>
            </w:pPr>
          </w:p>
        </w:tc>
        <w:tc>
          <w:tcPr>
            <w:tcW w:w="912" w:type="dxa"/>
            <w:vAlign w:val="center"/>
          </w:tcPr>
          <w:p w:rsidR="00CE1C1D" w:rsidRDefault="00CE1C1D">
            <w:pPr>
              <w:pStyle w:val="20"/>
              <w:jc w:val="center"/>
              <w:rPr>
                <w:rFonts w:ascii="仿宋" w:eastAsia="仿宋" w:hAnsi="仿宋" w:cs="仿宋"/>
                <w:kern w:val="0"/>
                <w:sz w:val="21"/>
                <w:szCs w:val="21"/>
              </w:rPr>
            </w:pPr>
          </w:p>
        </w:tc>
      </w:tr>
      <w:tr w:rsidR="00CE1C1D">
        <w:trPr>
          <w:trHeight w:val="335"/>
          <w:jc w:val="center"/>
        </w:trPr>
        <w:tc>
          <w:tcPr>
            <w:tcW w:w="2554" w:type="dxa"/>
            <w:vAlign w:val="center"/>
          </w:tcPr>
          <w:p w:rsidR="00CE1C1D" w:rsidRDefault="00C51615">
            <w:pPr>
              <w:pStyle w:val="20"/>
              <w:ind w:firstLineChars="0" w:firstLine="0"/>
              <w:jc w:val="center"/>
              <w:rPr>
                <w:rFonts w:ascii="仿宋" w:eastAsia="仿宋" w:hAnsi="仿宋" w:cs="仿宋"/>
                <w:kern w:val="0"/>
                <w:sz w:val="21"/>
                <w:szCs w:val="21"/>
              </w:rPr>
            </w:pPr>
            <w:r>
              <w:rPr>
                <w:rFonts w:ascii="仿宋" w:eastAsia="仿宋" w:hAnsi="仿宋" w:cs="仿宋" w:hint="eastAsia"/>
                <w:kern w:val="0"/>
                <w:sz w:val="21"/>
                <w:szCs w:val="21"/>
              </w:rPr>
              <w:t>例行节约保障措施</w:t>
            </w:r>
          </w:p>
        </w:tc>
        <w:tc>
          <w:tcPr>
            <w:tcW w:w="6517" w:type="dxa"/>
            <w:gridSpan w:val="6"/>
            <w:vAlign w:val="center"/>
          </w:tcPr>
          <w:p w:rsidR="00CE1C1D" w:rsidRDefault="00C51615" w:rsidP="00CE1C1D">
            <w:pPr>
              <w:pStyle w:val="20"/>
              <w:ind w:firstLine="360"/>
              <w:jc w:val="center"/>
              <w:rPr>
                <w:rFonts w:ascii="仿宋" w:eastAsia="仿宋" w:hAnsi="仿宋" w:cs="仿宋"/>
                <w:kern w:val="0"/>
                <w:sz w:val="21"/>
                <w:szCs w:val="21"/>
              </w:rPr>
            </w:pPr>
            <w:r>
              <w:rPr>
                <w:rFonts w:ascii="仿宋" w:eastAsia="仿宋" w:hAnsi="仿宋" w:cs="仿宋" w:hint="eastAsia"/>
                <w:kern w:val="0"/>
                <w:sz w:val="18"/>
                <w:szCs w:val="18"/>
              </w:rPr>
              <w:t>控制三公经费开支，缩减机关运行经费开支。</w:t>
            </w:r>
          </w:p>
        </w:tc>
      </w:tr>
    </w:tbl>
    <w:p w:rsidR="00CE1C1D" w:rsidRDefault="00CE1C1D">
      <w:pPr>
        <w:pStyle w:val="20"/>
        <w:ind w:firstLineChars="0" w:firstLine="0"/>
        <w:rPr>
          <w:rFonts w:ascii="仿宋" w:eastAsia="仿宋" w:hAnsi="仿宋" w:cs="仿宋"/>
          <w:kern w:val="0"/>
          <w:sz w:val="24"/>
        </w:rPr>
      </w:pPr>
    </w:p>
    <w:p w:rsidR="00CE1C1D" w:rsidRDefault="00CE1C1D">
      <w:pPr>
        <w:pStyle w:val="20"/>
        <w:ind w:firstLine="480"/>
        <w:rPr>
          <w:rFonts w:ascii="仿宋" w:eastAsia="仿宋" w:hAnsi="仿宋" w:cs="仿宋"/>
          <w:kern w:val="0"/>
          <w:sz w:val="24"/>
        </w:rPr>
      </w:pPr>
    </w:p>
    <w:p w:rsidR="00CE1C1D" w:rsidRDefault="00C51615">
      <w:pPr>
        <w:pStyle w:val="20"/>
        <w:ind w:firstLine="480"/>
        <w:rPr>
          <w:rFonts w:ascii="仿宋" w:eastAsia="仿宋" w:hAnsi="仿宋" w:cs="仿宋"/>
          <w:kern w:val="0"/>
          <w:sz w:val="24"/>
        </w:rPr>
      </w:pPr>
      <w:r>
        <w:rPr>
          <w:rFonts w:ascii="仿宋" w:eastAsia="仿宋" w:hAnsi="仿宋" w:cs="仿宋" w:hint="eastAsia"/>
          <w:kern w:val="0"/>
          <w:sz w:val="24"/>
        </w:rPr>
        <w:t>说明：“县级专项资金”需要填报基本支出以外的所有县级专项资金情况，“公用经费”填报基本支出中的一般商品和服务支出。</w:t>
      </w:r>
    </w:p>
    <w:p w:rsidR="00CE1C1D" w:rsidRDefault="00CE1C1D">
      <w:pPr>
        <w:pStyle w:val="20"/>
        <w:ind w:firstLine="480"/>
        <w:rPr>
          <w:rFonts w:ascii="仿宋" w:eastAsia="仿宋" w:hAnsi="仿宋" w:cs="仿宋"/>
          <w:kern w:val="0"/>
          <w:sz w:val="24"/>
        </w:rPr>
      </w:pPr>
    </w:p>
    <w:p w:rsidR="00CE1C1D" w:rsidRDefault="00C51615">
      <w:pPr>
        <w:pStyle w:val="20"/>
        <w:ind w:firstLineChars="0" w:firstLine="0"/>
        <w:rPr>
          <w:rFonts w:ascii="仿宋" w:eastAsia="仿宋" w:hAnsi="仿宋" w:cs="仿宋"/>
          <w:b/>
          <w:bCs/>
          <w:kern w:val="0"/>
          <w:sz w:val="24"/>
        </w:rPr>
      </w:pPr>
      <w:r>
        <w:rPr>
          <w:rFonts w:ascii="仿宋" w:eastAsia="仿宋" w:hAnsi="仿宋" w:cs="仿宋" w:hint="eastAsia"/>
          <w:kern w:val="0"/>
          <w:sz w:val="24"/>
        </w:rPr>
        <w:lastRenderedPageBreak/>
        <w:t>填表人：罗蕾    填报日期：2025年4月10日  联系电话：13337392720           单位负责人签字：周玉科</w:t>
      </w:r>
    </w:p>
    <w:p w:rsidR="00CE1C1D" w:rsidRDefault="00C51615">
      <w:pPr>
        <w:spacing w:line="600" w:lineRule="exact"/>
        <w:rPr>
          <w:rFonts w:ascii="黑体" w:eastAsia="黑体" w:hAnsi="黑体" w:cs="黑体"/>
          <w:kern w:val="0"/>
          <w:sz w:val="32"/>
          <w:szCs w:val="32"/>
        </w:rPr>
      </w:pPr>
      <w:r>
        <w:rPr>
          <w:rFonts w:ascii="黑体" w:eastAsia="黑体" w:hAnsi="黑体" w:cs="黑体" w:hint="eastAsia"/>
          <w:kern w:val="0"/>
          <w:sz w:val="32"/>
          <w:szCs w:val="32"/>
        </w:rPr>
        <w:t>附件4</w:t>
      </w:r>
    </w:p>
    <w:p w:rsidR="00CE1C1D" w:rsidRDefault="00C51615">
      <w:pPr>
        <w:spacing w:line="640" w:lineRule="exact"/>
        <w:ind w:firstLine="800"/>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sz w:val="40"/>
          <w:szCs w:val="40"/>
        </w:rPr>
        <w:t>部门整体支出绩效自评表</w:t>
      </w:r>
    </w:p>
    <w:tbl>
      <w:tblPr>
        <w:tblW w:w="9071" w:type="dxa"/>
        <w:jc w:val="center"/>
        <w:tblLayout w:type="fixed"/>
        <w:tblLook w:val="04A0"/>
      </w:tblPr>
      <w:tblGrid>
        <w:gridCol w:w="889"/>
        <w:gridCol w:w="796"/>
        <w:gridCol w:w="854"/>
        <w:gridCol w:w="1423"/>
        <w:gridCol w:w="85"/>
        <w:gridCol w:w="1088"/>
        <w:gridCol w:w="1166"/>
        <w:gridCol w:w="773"/>
        <w:gridCol w:w="761"/>
        <w:gridCol w:w="1236"/>
      </w:tblGrid>
      <w:tr w:rsidR="00CE1C1D">
        <w:trPr>
          <w:trHeight w:val="498"/>
          <w:jc w:val="center"/>
        </w:trPr>
        <w:tc>
          <w:tcPr>
            <w:tcW w:w="889" w:type="dxa"/>
            <w:tcBorders>
              <w:top w:val="single" w:sz="4" w:space="0" w:color="auto"/>
              <w:left w:val="single" w:sz="4" w:space="0" w:color="auto"/>
              <w:bottom w:val="single" w:sz="4" w:space="0" w:color="auto"/>
              <w:right w:val="single" w:sz="4" w:space="0" w:color="auto"/>
            </w:tcBorders>
            <w:noWrap/>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预算单位名称</w:t>
            </w:r>
          </w:p>
        </w:tc>
        <w:tc>
          <w:tcPr>
            <w:tcW w:w="8182" w:type="dxa"/>
            <w:gridSpan w:val="9"/>
            <w:tcBorders>
              <w:top w:val="single" w:sz="4" w:space="0" w:color="auto"/>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隆回县住房和城乡建设局</w:t>
            </w:r>
            <w:r>
              <w:rPr>
                <w:rFonts w:eastAsia="仿宋_GB2312"/>
                <w:color w:val="000000"/>
                <w:kern w:val="0"/>
                <w:sz w:val="18"/>
                <w:szCs w:val="18"/>
              </w:rPr>
              <w:t xml:space="preserve">　</w:t>
            </w:r>
          </w:p>
        </w:tc>
      </w:tr>
      <w:tr w:rsidR="00CE1C1D">
        <w:trPr>
          <w:trHeight w:val="254"/>
          <w:jc w:val="center"/>
        </w:trPr>
        <w:tc>
          <w:tcPr>
            <w:tcW w:w="889" w:type="dxa"/>
            <w:vMerge w:val="restart"/>
            <w:tcBorders>
              <w:top w:val="nil"/>
              <w:left w:val="single" w:sz="4" w:space="0" w:color="auto"/>
              <w:right w:val="single" w:sz="4" w:space="0" w:color="auto"/>
            </w:tcBorders>
            <w:noWrap/>
            <w:vAlign w:val="center"/>
          </w:tcPr>
          <w:p w:rsidR="00CE1C1D" w:rsidRDefault="00C51615">
            <w:pPr>
              <w:spacing w:line="240" w:lineRule="exact"/>
              <w:rPr>
                <w:rFonts w:eastAsia="仿宋_GB2312"/>
                <w:color w:val="000000"/>
                <w:kern w:val="0"/>
                <w:sz w:val="18"/>
                <w:szCs w:val="18"/>
              </w:rPr>
            </w:pPr>
            <w:r>
              <w:rPr>
                <w:rFonts w:eastAsia="仿宋_GB2312"/>
                <w:color w:val="000000"/>
                <w:kern w:val="0"/>
                <w:sz w:val="18"/>
                <w:szCs w:val="18"/>
              </w:rPr>
              <w:t>年度预</w:t>
            </w:r>
          </w:p>
          <w:p w:rsidR="00CE1C1D" w:rsidRDefault="00C51615">
            <w:pPr>
              <w:spacing w:line="240" w:lineRule="exact"/>
              <w:rPr>
                <w:rFonts w:eastAsia="仿宋_GB2312"/>
                <w:color w:val="000000"/>
                <w:kern w:val="0"/>
                <w:sz w:val="18"/>
                <w:szCs w:val="18"/>
              </w:rPr>
            </w:pPr>
            <w:r>
              <w:rPr>
                <w:rFonts w:eastAsia="仿宋_GB2312"/>
                <w:color w:val="000000"/>
                <w:kern w:val="0"/>
                <w:sz w:val="18"/>
                <w:szCs w:val="18"/>
              </w:rPr>
              <w:t>算申请</w:t>
            </w:r>
            <w:r>
              <w:rPr>
                <w:rFonts w:eastAsia="仿宋_GB2312"/>
                <w:color w:val="000000"/>
                <w:kern w:val="0"/>
                <w:sz w:val="18"/>
                <w:szCs w:val="18"/>
              </w:rPr>
              <w:br/>
            </w:r>
            <w:r>
              <w:rPr>
                <w:rFonts w:eastAsia="仿宋_GB2312"/>
                <w:color w:val="000000"/>
                <w:kern w:val="0"/>
                <w:sz w:val="18"/>
                <w:szCs w:val="18"/>
              </w:rPr>
              <w:t>（万元）</w:t>
            </w:r>
          </w:p>
        </w:tc>
        <w:tc>
          <w:tcPr>
            <w:tcW w:w="1650" w:type="dxa"/>
            <w:gridSpan w:val="2"/>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sz w:val="18"/>
                <w:szCs w:val="18"/>
              </w:rPr>
            </w:pPr>
          </w:p>
        </w:tc>
        <w:tc>
          <w:tcPr>
            <w:tcW w:w="1423" w:type="dxa"/>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sz w:val="18"/>
                <w:szCs w:val="18"/>
              </w:rPr>
            </w:pPr>
            <w:r>
              <w:rPr>
                <w:rFonts w:eastAsia="仿宋_GB2312"/>
                <w:sz w:val="18"/>
                <w:szCs w:val="18"/>
              </w:rPr>
              <w:t>年初预算数</w:t>
            </w:r>
          </w:p>
        </w:tc>
        <w:tc>
          <w:tcPr>
            <w:tcW w:w="1173" w:type="dxa"/>
            <w:gridSpan w:val="2"/>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sz w:val="18"/>
                <w:szCs w:val="18"/>
              </w:rPr>
            </w:pPr>
            <w:r>
              <w:rPr>
                <w:rFonts w:eastAsia="仿宋_GB2312"/>
                <w:sz w:val="18"/>
                <w:szCs w:val="18"/>
              </w:rPr>
              <w:t>全年预算数</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sz w:val="18"/>
                <w:szCs w:val="18"/>
              </w:rPr>
            </w:pPr>
            <w:r>
              <w:rPr>
                <w:rFonts w:eastAsia="仿宋_GB2312"/>
                <w:sz w:val="18"/>
                <w:szCs w:val="18"/>
              </w:rPr>
              <w:t>全年执行数</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sz w:val="18"/>
                <w:szCs w:val="18"/>
              </w:rPr>
            </w:pPr>
            <w:r>
              <w:rPr>
                <w:rFonts w:eastAsia="仿宋_GB2312"/>
                <w:sz w:val="18"/>
                <w:szCs w:val="18"/>
              </w:rPr>
              <w:t>分值</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sz w:val="18"/>
                <w:szCs w:val="18"/>
              </w:rPr>
            </w:pPr>
            <w:r>
              <w:rPr>
                <w:rFonts w:eastAsia="仿宋_GB2312"/>
                <w:sz w:val="18"/>
                <w:szCs w:val="18"/>
              </w:rPr>
              <w:t>执行率</w:t>
            </w:r>
          </w:p>
        </w:tc>
        <w:tc>
          <w:tcPr>
            <w:tcW w:w="1236" w:type="dxa"/>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sz w:val="18"/>
                <w:szCs w:val="18"/>
              </w:rPr>
            </w:pPr>
            <w:r>
              <w:rPr>
                <w:rFonts w:eastAsia="仿宋_GB2312"/>
                <w:sz w:val="18"/>
                <w:szCs w:val="18"/>
              </w:rPr>
              <w:t>得分</w:t>
            </w:r>
          </w:p>
        </w:tc>
      </w:tr>
      <w:tr w:rsidR="00CE1C1D">
        <w:trPr>
          <w:trHeight w:val="231"/>
          <w:jc w:val="center"/>
        </w:trPr>
        <w:tc>
          <w:tcPr>
            <w:tcW w:w="889" w:type="dxa"/>
            <w:vMerge/>
            <w:tcBorders>
              <w:top w:val="nil"/>
              <w:left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650" w:type="dxa"/>
            <w:gridSpan w:val="2"/>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sz w:val="18"/>
                <w:szCs w:val="18"/>
              </w:rPr>
            </w:pPr>
            <w:r>
              <w:rPr>
                <w:rFonts w:eastAsia="仿宋_GB2312"/>
                <w:color w:val="000000"/>
                <w:kern w:val="0"/>
                <w:sz w:val="18"/>
                <w:szCs w:val="18"/>
              </w:rPr>
              <w:t>年度资金总额</w:t>
            </w:r>
          </w:p>
        </w:tc>
        <w:tc>
          <w:tcPr>
            <w:tcW w:w="142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sz w:val="18"/>
                <w:szCs w:val="18"/>
              </w:rPr>
            </w:pPr>
            <w:r>
              <w:rPr>
                <w:rFonts w:eastAsia="仿宋_GB2312" w:hint="eastAsia"/>
                <w:sz w:val="18"/>
                <w:szCs w:val="18"/>
              </w:rPr>
              <w:t>16231.1</w:t>
            </w:r>
          </w:p>
        </w:tc>
        <w:tc>
          <w:tcPr>
            <w:tcW w:w="1173" w:type="dxa"/>
            <w:gridSpan w:val="2"/>
            <w:tcBorders>
              <w:top w:val="nil"/>
              <w:left w:val="nil"/>
              <w:bottom w:val="single" w:sz="4" w:space="0" w:color="auto"/>
              <w:right w:val="single" w:sz="4" w:space="0" w:color="auto"/>
            </w:tcBorders>
            <w:noWrap/>
            <w:vAlign w:val="center"/>
          </w:tcPr>
          <w:p w:rsidR="00CE1C1D" w:rsidRDefault="00C51615">
            <w:pPr>
              <w:spacing w:line="240" w:lineRule="exact"/>
              <w:ind w:firstLineChars="100" w:firstLine="180"/>
              <w:rPr>
                <w:rFonts w:eastAsia="仿宋_GB2312"/>
                <w:sz w:val="18"/>
                <w:szCs w:val="18"/>
              </w:rPr>
            </w:pPr>
            <w:r>
              <w:rPr>
                <w:rFonts w:eastAsia="仿宋_GB2312" w:hint="eastAsia"/>
                <w:sz w:val="18"/>
                <w:szCs w:val="18"/>
              </w:rPr>
              <w:t>11097.54</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sz w:val="18"/>
                <w:szCs w:val="18"/>
              </w:rPr>
            </w:pPr>
            <w:r>
              <w:rPr>
                <w:rFonts w:eastAsia="仿宋_GB2312" w:hint="eastAsia"/>
                <w:sz w:val="18"/>
                <w:szCs w:val="18"/>
              </w:rPr>
              <w:t>10901.94</w:t>
            </w:r>
          </w:p>
        </w:tc>
        <w:tc>
          <w:tcPr>
            <w:tcW w:w="773" w:type="dxa"/>
            <w:tcBorders>
              <w:top w:val="nil"/>
              <w:left w:val="nil"/>
              <w:bottom w:val="single" w:sz="4" w:space="0" w:color="auto"/>
              <w:right w:val="single" w:sz="4" w:space="0" w:color="auto"/>
            </w:tcBorders>
            <w:noWrap/>
            <w:vAlign w:val="center"/>
          </w:tcPr>
          <w:p w:rsidR="00CE1C1D" w:rsidRDefault="001A40F8">
            <w:pPr>
              <w:spacing w:line="240" w:lineRule="exact"/>
              <w:jc w:val="center"/>
              <w:rPr>
                <w:rFonts w:eastAsia="仿宋_GB2312"/>
                <w:sz w:val="18"/>
                <w:szCs w:val="18"/>
              </w:rPr>
            </w:pPr>
            <w:r>
              <w:rPr>
                <w:rFonts w:eastAsia="仿宋_GB2312" w:hint="eastAsia"/>
                <w:sz w:val="18"/>
                <w:szCs w:val="18"/>
              </w:rPr>
              <w:t>10</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sz w:val="18"/>
                <w:szCs w:val="18"/>
              </w:rPr>
            </w:pPr>
            <w:r>
              <w:rPr>
                <w:rFonts w:eastAsia="仿宋_GB2312" w:hint="eastAsia"/>
                <w:sz w:val="18"/>
                <w:szCs w:val="18"/>
              </w:rPr>
              <w:t>98%</w:t>
            </w:r>
          </w:p>
        </w:tc>
        <w:tc>
          <w:tcPr>
            <w:tcW w:w="1236" w:type="dxa"/>
            <w:tcBorders>
              <w:top w:val="nil"/>
              <w:left w:val="nil"/>
              <w:bottom w:val="single" w:sz="4" w:space="0" w:color="auto"/>
              <w:right w:val="single" w:sz="4" w:space="0" w:color="auto"/>
            </w:tcBorders>
            <w:noWrap/>
            <w:vAlign w:val="center"/>
          </w:tcPr>
          <w:p w:rsidR="00CE1C1D" w:rsidRDefault="001A40F8">
            <w:pPr>
              <w:spacing w:line="240" w:lineRule="exact"/>
              <w:rPr>
                <w:rFonts w:eastAsia="仿宋_GB2312"/>
                <w:sz w:val="18"/>
                <w:szCs w:val="18"/>
              </w:rPr>
            </w:pPr>
            <w:r>
              <w:rPr>
                <w:rFonts w:eastAsia="仿宋_GB2312" w:hint="eastAsia"/>
                <w:sz w:val="18"/>
                <w:szCs w:val="18"/>
              </w:rPr>
              <w:t>9.82</w:t>
            </w:r>
          </w:p>
        </w:tc>
      </w:tr>
      <w:tr w:rsidR="00CE1C1D">
        <w:trPr>
          <w:trHeight w:val="25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4246" w:type="dxa"/>
            <w:gridSpan w:val="5"/>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按收入性质分：</w:t>
            </w:r>
          </w:p>
        </w:tc>
        <w:tc>
          <w:tcPr>
            <w:tcW w:w="3936" w:type="dxa"/>
            <w:gridSpan w:val="4"/>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按支出性质分：</w:t>
            </w:r>
          </w:p>
        </w:tc>
      </w:tr>
      <w:tr w:rsidR="00CE1C1D">
        <w:trPr>
          <w:trHeight w:val="25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4246" w:type="dxa"/>
            <w:gridSpan w:val="5"/>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r>
              <w:rPr>
                <w:rFonts w:eastAsia="仿宋_GB2312"/>
                <w:color w:val="000000"/>
                <w:kern w:val="0"/>
                <w:sz w:val="18"/>
                <w:szCs w:val="18"/>
              </w:rPr>
              <w:t>其中：</w:t>
            </w:r>
            <w:r>
              <w:rPr>
                <w:rFonts w:eastAsia="仿宋_GB2312"/>
                <w:color w:val="000000"/>
                <w:kern w:val="0"/>
                <w:sz w:val="18"/>
                <w:szCs w:val="18"/>
              </w:rPr>
              <w:t xml:space="preserve">  </w:t>
            </w:r>
            <w:r>
              <w:rPr>
                <w:rFonts w:eastAsia="仿宋_GB2312"/>
                <w:color w:val="000000"/>
                <w:kern w:val="0"/>
                <w:sz w:val="18"/>
                <w:szCs w:val="18"/>
              </w:rPr>
              <w:t>一般公共预算：</w:t>
            </w:r>
            <w:r>
              <w:rPr>
                <w:rFonts w:eastAsia="仿宋_GB2312" w:hint="eastAsia"/>
                <w:color w:val="000000"/>
                <w:kern w:val="0"/>
                <w:sz w:val="18"/>
                <w:szCs w:val="18"/>
              </w:rPr>
              <w:t>8513.66</w:t>
            </w:r>
          </w:p>
        </w:tc>
        <w:tc>
          <w:tcPr>
            <w:tcW w:w="3936" w:type="dxa"/>
            <w:gridSpan w:val="4"/>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其中：基本支出：</w:t>
            </w:r>
            <w:r>
              <w:rPr>
                <w:rFonts w:eastAsia="仿宋_GB2312" w:hint="eastAsia"/>
                <w:color w:val="000000"/>
                <w:kern w:val="0"/>
                <w:sz w:val="18"/>
                <w:szCs w:val="18"/>
              </w:rPr>
              <w:t>381.41</w:t>
            </w:r>
          </w:p>
        </w:tc>
      </w:tr>
      <w:tr w:rsidR="00CE1C1D">
        <w:trPr>
          <w:trHeight w:val="25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4246" w:type="dxa"/>
            <w:gridSpan w:val="5"/>
            <w:tcBorders>
              <w:top w:val="nil"/>
              <w:left w:val="nil"/>
              <w:bottom w:val="single" w:sz="4" w:space="0" w:color="auto"/>
              <w:right w:val="single" w:sz="4" w:space="0" w:color="auto"/>
            </w:tcBorders>
            <w:noWrap/>
            <w:vAlign w:val="center"/>
          </w:tcPr>
          <w:p w:rsidR="00CE1C1D" w:rsidRDefault="00C51615">
            <w:pPr>
              <w:spacing w:line="240" w:lineRule="exact"/>
              <w:ind w:firstLineChars="400" w:firstLine="720"/>
              <w:jc w:val="left"/>
              <w:rPr>
                <w:rFonts w:eastAsia="仿宋_GB2312"/>
                <w:color w:val="000000"/>
                <w:kern w:val="0"/>
                <w:sz w:val="18"/>
                <w:szCs w:val="18"/>
              </w:rPr>
            </w:pPr>
            <w:r>
              <w:rPr>
                <w:rFonts w:eastAsia="仿宋_GB2312"/>
                <w:color w:val="000000"/>
                <w:kern w:val="0"/>
                <w:sz w:val="18"/>
                <w:szCs w:val="18"/>
              </w:rPr>
              <w:t>政府性基金拨款：</w:t>
            </w:r>
            <w:r>
              <w:rPr>
                <w:rFonts w:eastAsia="仿宋_GB2312" w:hint="eastAsia"/>
                <w:color w:val="000000"/>
                <w:kern w:val="0"/>
                <w:sz w:val="18"/>
                <w:szCs w:val="18"/>
              </w:rPr>
              <w:t>2388.28</w:t>
            </w:r>
          </w:p>
        </w:tc>
        <w:tc>
          <w:tcPr>
            <w:tcW w:w="3936" w:type="dxa"/>
            <w:gridSpan w:val="4"/>
            <w:tcBorders>
              <w:top w:val="nil"/>
              <w:left w:val="nil"/>
              <w:bottom w:val="single" w:sz="4" w:space="0" w:color="auto"/>
              <w:right w:val="single" w:sz="4" w:space="0" w:color="auto"/>
            </w:tcBorders>
            <w:noWrap/>
            <w:vAlign w:val="center"/>
          </w:tcPr>
          <w:p w:rsidR="00CE1C1D" w:rsidRDefault="00C51615">
            <w:pPr>
              <w:spacing w:line="240" w:lineRule="exact"/>
              <w:ind w:firstLineChars="300" w:firstLine="540"/>
              <w:jc w:val="left"/>
              <w:rPr>
                <w:rFonts w:eastAsia="仿宋_GB2312"/>
                <w:color w:val="000000"/>
                <w:kern w:val="0"/>
                <w:sz w:val="18"/>
                <w:szCs w:val="18"/>
              </w:rPr>
            </w:pPr>
            <w:r>
              <w:rPr>
                <w:rFonts w:eastAsia="仿宋_GB2312" w:hint="eastAsia"/>
                <w:color w:val="000000"/>
                <w:kern w:val="0"/>
                <w:sz w:val="18"/>
                <w:szCs w:val="18"/>
              </w:rPr>
              <w:t>专项资金</w:t>
            </w:r>
            <w:r>
              <w:rPr>
                <w:rFonts w:eastAsia="仿宋_GB2312"/>
                <w:color w:val="000000"/>
                <w:kern w:val="0"/>
                <w:sz w:val="18"/>
                <w:szCs w:val="18"/>
              </w:rPr>
              <w:t>：</w:t>
            </w:r>
            <w:r>
              <w:rPr>
                <w:rFonts w:eastAsia="仿宋_GB2312" w:hint="eastAsia"/>
                <w:color w:val="000000"/>
                <w:kern w:val="0"/>
                <w:sz w:val="18"/>
                <w:szCs w:val="18"/>
              </w:rPr>
              <w:t>10520.53</w:t>
            </w:r>
          </w:p>
        </w:tc>
      </w:tr>
      <w:tr w:rsidR="00CE1C1D">
        <w:trPr>
          <w:trHeight w:val="25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4246" w:type="dxa"/>
            <w:gridSpan w:val="5"/>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纳入专户管理的非税收入拨款：</w:t>
            </w:r>
          </w:p>
        </w:tc>
        <w:tc>
          <w:tcPr>
            <w:tcW w:w="3936" w:type="dxa"/>
            <w:gridSpan w:val="4"/>
            <w:tcBorders>
              <w:top w:val="nil"/>
              <w:left w:val="nil"/>
              <w:bottom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r>
      <w:tr w:rsidR="00CE1C1D">
        <w:trPr>
          <w:trHeight w:val="254"/>
          <w:jc w:val="center"/>
        </w:trPr>
        <w:tc>
          <w:tcPr>
            <w:tcW w:w="889" w:type="dxa"/>
            <w:vMerge/>
            <w:tcBorders>
              <w:left w:val="single" w:sz="4" w:space="0" w:color="auto"/>
              <w:bottom w:val="single" w:sz="4" w:space="0" w:color="000000"/>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4246" w:type="dxa"/>
            <w:gridSpan w:val="5"/>
            <w:tcBorders>
              <w:top w:val="nil"/>
              <w:left w:val="nil"/>
              <w:bottom w:val="single" w:sz="4" w:space="0" w:color="auto"/>
              <w:right w:val="single" w:sz="4" w:space="0" w:color="auto"/>
            </w:tcBorders>
            <w:noWrap/>
            <w:vAlign w:val="center"/>
          </w:tcPr>
          <w:p w:rsidR="00CE1C1D" w:rsidRDefault="00C51615">
            <w:pPr>
              <w:spacing w:line="240" w:lineRule="exact"/>
              <w:ind w:firstLineChars="700" w:firstLine="1260"/>
              <w:jc w:val="left"/>
              <w:rPr>
                <w:rFonts w:eastAsia="仿宋_GB2312"/>
                <w:color w:val="000000"/>
                <w:kern w:val="0"/>
                <w:sz w:val="18"/>
                <w:szCs w:val="18"/>
              </w:rPr>
            </w:pPr>
            <w:r>
              <w:rPr>
                <w:rFonts w:eastAsia="仿宋_GB2312"/>
                <w:color w:val="000000"/>
                <w:kern w:val="0"/>
                <w:sz w:val="18"/>
                <w:szCs w:val="18"/>
              </w:rPr>
              <w:t>其他资金：</w:t>
            </w:r>
          </w:p>
        </w:tc>
        <w:tc>
          <w:tcPr>
            <w:tcW w:w="3936" w:type="dxa"/>
            <w:gridSpan w:val="4"/>
            <w:tcBorders>
              <w:top w:val="nil"/>
              <w:left w:val="nil"/>
              <w:bottom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r>
      <w:tr w:rsidR="00CE1C1D">
        <w:trPr>
          <w:trHeight w:val="254"/>
          <w:jc w:val="center"/>
        </w:trPr>
        <w:tc>
          <w:tcPr>
            <w:tcW w:w="889" w:type="dxa"/>
            <w:vMerge w:val="restart"/>
            <w:tcBorders>
              <w:top w:val="nil"/>
              <w:left w:val="single" w:sz="4" w:space="0" w:color="auto"/>
              <w:bottom w:val="single" w:sz="4" w:space="0" w:color="000000"/>
              <w:right w:val="single" w:sz="4" w:space="0" w:color="auto"/>
            </w:tcBorders>
            <w:noWrap/>
            <w:vAlign w:val="center"/>
          </w:tcPr>
          <w:p w:rsidR="00CE1C1D" w:rsidRDefault="00C51615">
            <w:pPr>
              <w:spacing w:line="240" w:lineRule="exact"/>
              <w:rPr>
                <w:rFonts w:eastAsia="仿宋_GB2312"/>
                <w:color w:val="000000"/>
                <w:kern w:val="0"/>
                <w:sz w:val="18"/>
                <w:szCs w:val="18"/>
              </w:rPr>
            </w:pPr>
            <w:r>
              <w:rPr>
                <w:rFonts w:eastAsia="仿宋_GB2312"/>
                <w:color w:val="000000"/>
                <w:kern w:val="0"/>
                <w:sz w:val="18"/>
                <w:szCs w:val="18"/>
              </w:rPr>
              <w:t>年度总体目标</w:t>
            </w:r>
          </w:p>
        </w:tc>
        <w:tc>
          <w:tcPr>
            <w:tcW w:w="4246" w:type="dxa"/>
            <w:gridSpan w:val="5"/>
            <w:tcBorders>
              <w:top w:val="single" w:sz="4" w:space="0" w:color="auto"/>
              <w:left w:val="nil"/>
              <w:bottom w:val="single" w:sz="4" w:space="0" w:color="auto"/>
              <w:right w:val="single" w:sz="4" w:space="0" w:color="000000"/>
            </w:tcBorders>
            <w:noWrap/>
            <w:vAlign w:val="center"/>
          </w:tcPr>
          <w:p w:rsidR="00CE1C1D" w:rsidRDefault="00C51615">
            <w:pPr>
              <w:spacing w:line="240" w:lineRule="exact"/>
              <w:ind w:firstLineChars="600" w:firstLine="1080"/>
              <w:rPr>
                <w:rFonts w:eastAsia="仿宋_GB2312"/>
                <w:color w:val="000000"/>
                <w:kern w:val="0"/>
                <w:sz w:val="18"/>
                <w:szCs w:val="18"/>
              </w:rPr>
            </w:pPr>
            <w:r>
              <w:rPr>
                <w:rFonts w:eastAsia="仿宋_GB2312"/>
                <w:color w:val="000000"/>
                <w:kern w:val="0"/>
                <w:sz w:val="18"/>
                <w:szCs w:val="18"/>
              </w:rPr>
              <w:t>预期目标</w:t>
            </w:r>
          </w:p>
        </w:tc>
        <w:tc>
          <w:tcPr>
            <w:tcW w:w="3936" w:type="dxa"/>
            <w:gridSpan w:val="4"/>
            <w:tcBorders>
              <w:top w:val="single" w:sz="4" w:space="0" w:color="auto"/>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color w:val="000000"/>
                <w:kern w:val="0"/>
                <w:sz w:val="18"/>
                <w:szCs w:val="18"/>
              </w:rPr>
              <w:t xml:space="preserve">实际完成情况　</w:t>
            </w:r>
          </w:p>
        </w:tc>
      </w:tr>
      <w:tr w:rsidR="00CE1C1D">
        <w:trPr>
          <w:trHeight w:val="254"/>
          <w:jc w:val="center"/>
        </w:trPr>
        <w:tc>
          <w:tcPr>
            <w:tcW w:w="889" w:type="dxa"/>
            <w:vMerge/>
            <w:tcBorders>
              <w:top w:val="nil"/>
              <w:left w:val="single" w:sz="4" w:space="0" w:color="auto"/>
              <w:bottom w:val="single" w:sz="4" w:space="0" w:color="000000"/>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4246" w:type="dxa"/>
            <w:gridSpan w:val="5"/>
            <w:tcBorders>
              <w:top w:val="single" w:sz="4" w:space="0" w:color="auto"/>
              <w:left w:val="nil"/>
              <w:bottom w:val="single" w:sz="4" w:space="0" w:color="auto"/>
              <w:right w:val="single" w:sz="4" w:space="0" w:color="000000"/>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倾力推进乡村环境基础设施维护建设</w:t>
            </w:r>
            <w:r>
              <w:rPr>
                <w:rFonts w:eastAsia="仿宋_GB2312"/>
                <w:color w:val="000000"/>
                <w:kern w:val="0"/>
                <w:sz w:val="18"/>
                <w:szCs w:val="18"/>
              </w:rPr>
              <w:t xml:space="preserve">　</w:t>
            </w:r>
            <w:r>
              <w:rPr>
                <w:rFonts w:eastAsia="仿宋_GB2312" w:hint="eastAsia"/>
                <w:color w:val="000000"/>
                <w:kern w:val="0"/>
                <w:sz w:val="18"/>
                <w:szCs w:val="18"/>
              </w:rPr>
              <w:t>，极力推进重点项目建设。规范提质房地产市场领域，抓好农村危改工作，大力加强建筑市场管理。加强财务管理、资产管理，对所占有、使用的固定资产做到物尽其用，发挥使用效益，防止资产流失。</w:t>
            </w:r>
            <w:r>
              <w:rPr>
                <w:rFonts w:eastAsia="仿宋_GB2312"/>
                <w:color w:val="000000"/>
                <w:kern w:val="0"/>
                <w:sz w:val="18"/>
                <w:szCs w:val="18"/>
              </w:rPr>
              <w:t xml:space="preserve">　　</w:t>
            </w:r>
          </w:p>
        </w:tc>
        <w:tc>
          <w:tcPr>
            <w:tcW w:w="3936" w:type="dxa"/>
            <w:gridSpan w:val="4"/>
            <w:tcBorders>
              <w:top w:val="single" w:sz="4" w:space="0" w:color="auto"/>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r>
              <w:rPr>
                <w:rFonts w:eastAsia="仿宋_GB2312" w:hint="eastAsia"/>
                <w:color w:val="000000"/>
                <w:kern w:val="0"/>
                <w:sz w:val="18"/>
                <w:szCs w:val="18"/>
              </w:rPr>
              <w:t>努力有所推进乡村环境基础设施维护建设</w:t>
            </w:r>
            <w:r>
              <w:rPr>
                <w:rFonts w:eastAsia="仿宋_GB2312"/>
                <w:color w:val="000000"/>
                <w:kern w:val="0"/>
                <w:sz w:val="18"/>
                <w:szCs w:val="18"/>
              </w:rPr>
              <w:t xml:space="preserve">　</w:t>
            </w:r>
            <w:r>
              <w:rPr>
                <w:rFonts w:eastAsia="仿宋_GB2312" w:hint="eastAsia"/>
                <w:color w:val="000000"/>
                <w:kern w:val="0"/>
                <w:sz w:val="18"/>
                <w:szCs w:val="18"/>
              </w:rPr>
              <w:t>，推进重点项目建设。规范提质房地产市场领域，开展好农村危改工作，大力加强建筑市场管理，</w:t>
            </w:r>
            <w:bookmarkStart w:id="2" w:name="_GoBack"/>
            <w:bookmarkEnd w:id="2"/>
            <w:r>
              <w:rPr>
                <w:rFonts w:eastAsia="仿宋_GB2312" w:hint="eastAsia"/>
                <w:color w:val="000000"/>
                <w:kern w:val="0"/>
                <w:sz w:val="18"/>
                <w:szCs w:val="18"/>
              </w:rPr>
              <w:t>加强财务管理、资产管理。</w:t>
            </w:r>
          </w:p>
        </w:tc>
      </w:tr>
      <w:tr w:rsidR="00CE1C1D">
        <w:trPr>
          <w:trHeight w:val="741"/>
          <w:jc w:val="center"/>
        </w:trPr>
        <w:tc>
          <w:tcPr>
            <w:tcW w:w="889" w:type="dxa"/>
            <w:vMerge w:val="restart"/>
            <w:tcBorders>
              <w:top w:val="nil"/>
              <w:left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color w:val="000000"/>
                <w:kern w:val="0"/>
                <w:sz w:val="18"/>
                <w:szCs w:val="18"/>
              </w:rPr>
              <w:t>绩</w:t>
            </w:r>
          </w:p>
          <w:p w:rsidR="00CE1C1D" w:rsidRDefault="00C51615">
            <w:pPr>
              <w:spacing w:line="240" w:lineRule="exact"/>
              <w:ind w:firstLine="360"/>
              <w:jc w:val="center"/>
              <w:rPr>
                <w:rFonts w:eastAsia="仿宋_GB2312"/>
                <w:color w:val="000000"/>
                <w:kern w:val="0"/>
                <w:sz w:val="18"/>
                <w:szCs w:val="18"/>
              </w:rPr>
            </w:pPr>
            <w:r>
              <w:rPr>
                <w:rFonts w:eastAsia="仿宋_GB2312"/>
                <w:color w:val="000000"/>
                <w:kern w:val="0"/>
                <w:sz w:val="18"/>
                <w:szCs w:val="18"/>
              </w:rPr>
              <w:t>效</w:t>
            </w:r>
          </w:p>
          <w:p w:rsidR="00CE1C1D" w:rsidRDefault="00C51615">
            <w:pPr>
              <w:spacing w:line="240" w:lineRule="exact"/>
              <w:ind w:firstLine="360"/>
              <w:jc w:val="center"/>
              <w:rPr>
                <w:rFonts w:eastAsia="仿宋_GB2312"/>
                <w:color w:val="000000"/>
                <w:kern w:val="0"/>
                <w:sz w:val="18"/>
                <w:szCs w:val="18"/>
              </w:rPr>
            </w:pPr>
            <w:r>
              <w:rPr>
                <w:rFonts w:eastAsia="仿宋_GB2312"/>
                <w:color w:val="000000"/>
                <w:kern w:val="0"/>
                <w:sz w:val="18"/>
                <w:szCs w:val="18"/>
              </w:rPr>
              <w:t>指</w:t>
            </w:r>
          </w:p>
          <w:p w:rsidR="00CE1C1D" w:rsidRDefault="00C51615">
            <w:pPr>
              <w:spacing w:line="240" w:lineRule="exact"/>
              <w:ind w:firstLine="360"/>
              <w:jc w:val="center"/>
              <w:rPr>
                <w:rFonts w:eastAsia="仿宋_GB2312"/>
                <w:color w:val="000000"/>
                <w:kern w:val="0"/>
                <w:sz w:val="18"/>
                <w:szCs w:val="18"/>
              </w:rPr>
            </w:pPr>
            <w:r>
              <w:rPr>
                <w:rFonts w:eastAsia="仿宋_GB2312"/>
                <w:color w:val="000000"/>
                <w:kern w:val="0"/>
                <w:sz w:val="18"/>
                <w:szCs w:val="18"/>
              </w:rPr>
              <w:t>标</w:t>
            </w:r>
          </w:p>
        </w:tc>
        <w:tc>
          <w:tcPr>
            <w:tcW w:w="796" w:type="dxa"/>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color w:val="000000"/>
                <w:kern w:val="0"/>
                <w:sz w:val="18"/>
                <w:szCs w:val="18"/>
              </w:rPr>
            </w:pPr>
            <w:r>
              <w:rPr>
                <w:rFonts w:eastAsia="仿宋_GB2312"/>
                <w:color w:val="000000"/>
                <w:kern w:val="0"/>
                <w:sz w:val="18"/>
                <w:szCs w:val="18"/>
              </w:rPr>
              <w:t>一级指标</w:t>
            </w:r>
          </w:p>
        </w:tc>
        <w:tc>
          <w:tcPr>
            <w:tcW w:w="854" w:type="dxa"/>
            <w:tcBorders>
              <w:top w:val="nil"/>
              <w:left w:val="nil"/>
              <w:bottom w:val="single" w:sz="4" w:space="0" w:color="auto"/>
              <w:right w:val="single" w:sz="4" w:space="0" w:color="auto"/>
            </w:tcBorders>
            <w:noWrap/>
            <w:tcMar>
              <w:top w:w="0" w:type="dxa"/>
              <w:left w:w="0" w:type="dxa"/>
              <w:bottom w:w="0" w:type="dxa"/>
              <w:right w:w="0" w:type="dxa"/>
            </w:tcMar>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二级指标</w:t>
            </w: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三级指标</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color w:val="000000"/>
                <w:kern w:val="0"/>
                <w:sz w:val="18"/>
                <w:szCs w:val="18"/>
              </w:rPr>
            </w:pPr>
            <w:r>
              <w:rPr>
                <w:rFonts w:eastAsia="仿宋_GB2312"/>
                <w:color w:val="000000"/>
                <w:kern w:val="0"/>
                <w:sz w:val="18"/>
                <w:szCs w:val="18"/>
              </w:rPr>
              <w:t>年度指标值</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color w:val="000000"/>
                <w:kern w:val="0"/>
                <w:sz w:val="18"/>
                <w:szCs w:val="18"/>
              </w:rPr>
            </w:pPr>
            <w:r>
              <w:rPr>
                <w:rFonts w:eastAsia="仿宋_GB2312"/>
                <w:color w:val="000000"/>
                <w:kern w:val="0"/>
                <w:sz w:val="18"/>
                <w:szCs w:val="18"/>
              </w:rPr>
              <w:t>实际完成值</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分值</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得分</w:t>
            </w:r>
          </w:p>
        </w:tc>
        <w:tc>
          <w:tcPr>
            <w:tcW w:w="1236" w:type="dxa"/>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color w:val="000000"/>
                <w:kern w:val="0"/>
                <w:sz w:val="18"/>
                <w:szCs w:val="18"/>
              </w:rPr>
            </w:pPr>
            <w:r>
              <w:rPr>
                <w:rFonts w:eastAsia="仿宋_GB2312"/>
                <w:color w:val="000000"/>
                <w:kern w:val="0"/>
                <w:sz w:val="18"/>
                <w:szCs w:val="18"/>
              </w:rPr>
              <w:t>偏差原因分析及改进措施</w:t>
            </w:r>
          </w:p>
        </w:tc>
      </w:tr>
      <w:tr w:rsidR="00CE1C1D">
        <w:trPr>
          <w:trHeight w:val="331"/>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tcBorders>
              <w:left w:val="nil"/>
              <w:right w:val="single" w:sz="4" w:space="0" w:color="auto"/>
            </w:tcBorders>
            <w:noWrap/>
            <w:tcMar>
              <w:top w:w="0" w:type="dxa"/>
              <w:left w:w="0" w:type="dxa"/>
              <w:bottom w:w="0" w:type="dxa"/>
              <w:right w:w="0" w:type="dxa"/>
            </w:tcMar>
            <w:vAlign w:val="center"/>
          </w:tcPr>
          <w:p w:rsidR="00CE1C1D" w:rsidRDefault="00CE1C1D">
            <w:pPr>
              <w:spacing w:line="240" w:lineRule="exact"/>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rPr>
                <w:rFonts w:ascii="仿宋" w:eastAsia="仿宋" w:hAnsi="仿宋" w:cs="仿宋"/>
                <w:sz w:val="18"/>
                <w:szCs w:val="18"/>
              </w:rPr>
            </w:pPr>
            <w:r>
              <w:rPr>
                <w:rFonts w:eastAsia="仿宋_GB2312" w:hint="eastAsia"/>
                <w:color w:val="000000"/>
                <w:kern w:val="0"/>
                <w:sz w:val="18"/>
                <w:szCs w:val="18"/>
              </w:rPr>
              <w:t>建筑安全生产专项检查次数</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≥40次</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ind w:firstLine="360"/>
              <w:rPr>
                <w:rFonts w:ascii="仿宋" w:eastAsia="仿宋" w:hAnsi="仿宋" w:cs="仿宋"/>
                <w:color w:val="000000"/>
                <w:kern w:val="0"/>
                <w:sz w:val="18"/>
                <w:szCs w:val="18"/>
              </w:rPr>
            </w:pPr>
            <w:r>
              <w:rPr>
                <w:rFonts w:ascii="仿宋" w:eastAsia="仿宋" w:hAnsi="仿宋" w:cs="仿宋" w:hint="eastAsia"/>
                <w:color w:val="000000"/>
                <w:kern w:val="0"/>
                <w:sz w:val="18"/>
                <w:szCs w:val="18"/>
              </w:rPr>
              <w:t>≥40次</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5</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5</w:t>
            </w: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ascii="仿宋" w:eastAsia="仿宋" w:hAnsi="仿宋" w:cs="仿宋"/>
                <w:color w:val="000000"/>
                <w:kern w:val="0"/>
                <w:sz w:val="18"/>
                <w:szCs w:val="18"/>
              </w:rPr>
            </w:pPr>
          </w:p>
        </w:tc>
      </w:tr>
      <w:tr w:rsidR="00CE1C1D">
        <w:trPr>
          <w:trHeight w:val="331"/>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val="restart"/>
            <w:tcBorders>
              <w:left w:val="nil"/>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hint="eastAsia"/>
                <w:color w:val="000000"/>
                <w:kern w:val="0"/>
                <w:sz w:val="18"/>
                <w:szCs w:val="18"/>
              </w:rPr>
              <w:t>产出指标（</w:t>
            </w:r>
            <w:r>
              <w:rPr>
                <w:rFonts w:eastAsia="仿宋_GB2312" w:hint="eastAsia"/>
                <w:color w:val="000000"/>
                <w:kern w:val="0"/>
                <w:sz w:val="18"/>
                <w:szCs w:val="18"/>
              </w:rPr>
              <w:t>50</w:t>
            </w:r>
            <w:r>
              <w:rPr>
                <w:rFonts w:eastAsia="仿宋_GB2312" w:hint="eastAsia"/>
                <w:color w:val="000000"/>
                <w:kern w:val="0"/>
                <w:sz w:val="18"/>
                <w:szCs w:val="18"/>
              </w:rPr>
              <w:t>分）</w:t>
            </w:r>
          </w:p>
        </w:tc>
        <w:tc>
          <w:tcPr>
            <w:tcW w:w="854" w:type="dxa"/>
            <w:vMerge w:val="restart"/>
            <w:tcBorders>
              <w:left w:val="nil"/>
              <w:right w:val="single" w:sz="4" w:space="0" w:color="auto"/>
            </w:tcBorders>
            <w:noWrap/>
            <w:tcMar>
              <w:top w:w="0" w:type="dxa"/>
              <w:left w:w="0" w:type="dxa"/>
              <w:bottom w:w="0" w:type="dxa"/>
              <w:right w:w="0" w:type="dxa"/>
            </w:tcMar>
            <w:vAlign w:val="center"/>
          </w:tcPr>
          <w:p w:rsidR="00CE1C1D" w:rsidRDefault="00C51615">
            <w:pPr>
              <w:spacing w:line="240" w:lineRule="exact"/>
              <w:rPr>
                <w:rFonts w:eastAsia="仿宋_GB2312"/>
                <w:color w:val="000000"/>
                <w:kern w:val="0"/>
                <w:sz w:val="18"/>
                <w:szCs w:val="18"/>
              </w:rPr>
            </w:pPr>
            <w:r>
              <w:rPr>
                <w:rFonts w:eastAsia="仿宋_GB2312" w:hint="eastAsia"/>
                <w:color w:val="000000"/>
                <w:kern w:val="0"/>
                <w:sz w:val="18"/>
                <w:szCs w:val="18"/>
              </w:rPr>
              <w:t>数量指标</w:t>
            </w:r>
          </w:p>
        </w:tc>
        <w:tc>
          <w:tcPr>
            <w:tcW w:w="1508" w:type="dxa"/>
            <w:gridSpan w:val="2"/>
            <w:tcBorders>
              <w:top w:val="nil"/>
              <w:left w:val="nil"/>
              <w:bottom w:val="single" w:sz="4" w:space="0" w:color="auto"/>
              <w:right w:val="single" w:sz="4" w:space="0" w:color="auto"/>
            </w:tcBorders>
            <w:noWrap/>
            <w:vAlign w:val="center"/>
          </w:tcPr>
          <w:p w:rsidR="00CE1C1D" w:rsidRDefault="00C51615">
            <w:pPr>
              <w:rPr>
                <w:rFonts w:ascii="仿宋" w:eastAsia="仿宋" w:hAnsi="仿宋" w:cs="仿宋"/>
                <w:sz w:val="18"/>
                <w:szCs w:val="18"/>
              </w:rPr>
            </w:pPr>
            <w:r>
              <w:rPr>
                <w:rFonts w:ascii="仿宋" w:eastAsia="仿宋" w:hAnsi="仿宋" w:cs="仿宋" w:hint="eastAsia"/>
                <w:sz w:val="18"/>
                <w:szCs w:val="18"/>
              </w:rPr>
              <w:t>管网项目建设数</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≥3个</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ind w:firstLine="360"/>
              <w:rPr>
                <w:rFonts w:ascii="仿宋" w:eastAsia="仿宋" w:hAnsi="仿宋" w:cs="仿宋"/>
                <w:color w:val="000000"/>
                <w:kern w:val="0"/>
                <w:sz w:val="18"/>
                <w:szCs w:val="18"/>
              </w:rPr>
            </w:pPr>
            <w:r>
              <w:rPr>
                <w:rFonts w:ascii="仿宋" w:eastAsia="仿宋" w:hAnsi="仿宋" w:cs="仿宋" w:hint="eastAsia"/>
                <w:color w:val="000000"/>
                <w:kern w:val="0"/>
                <w:sz w:val="18"/>
                <w:szCs w:val="18"/>
              </w:rPr>
              <w:t>4个</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5</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5</w:t>
            </w: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ascii="仿宋" w:eastAsia="仿宋" w:hAnsi="仿宋" w:cs="仿宋"/>
                <w:color w:val="000000"/>
                <w:kern w:val="0"/>
                <w:sz w:val="18"/>
                <w:szCs w:val="18"/>
              </w:rPr>
            </w:pPr>
          </w:p>
        </w:tc>
      </w:tr>
      <w:tr w:rsidR="00CE1C1D">
        <w:trPr>
          <w:trHeight w:val="28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nil"/>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jc w:val="left"/>
              <w:rPr>
                <w:rFonts w:ascii="仿宋" w:eastAsia="仿宋" w:hAnsi="仿宋" w:cs="仿宋"/>
                <w:color w:val="000000"/>
                <w:kern w:val="0"/>
                <w:sz w:val="18"/>
                <w:szCs w:val="18"/>
              </w:rPr>
            </w:pPr>
            <w:r>
              <w:rPr>
                <w:rFonts w:ascii="仿宋" w:eastAsia="仿宋" w:hAnsi="仿宋" w:cs="仿宋" w:hint="eastAsia"/>
                <w:color w:val="000000"/>
                <w:kern w:val="0"/>
                <w:sz w:val="18"/>
                <w:szCs w:val="18"/>
              </w:rPr>
              <w:t>危房改造户数</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ind w:firstLineChars="100" w:firstLine="180"/>
              <w:rPr>
                <w:rFonts w:ascii="仿宋" w:eastAsia="仿宋" w:hAnsi="仿宋" w:cs="仿宋"/>
                <w:color w:val="000000"/>
                <w:kern w:val="0"/>
                <w:sz w:val="18"/>
                <w:szCs w:val="18"/>
              </w:rPr>
            </w:pPr>
            <w:r>
              <w:rPr>
                <w:rFonts w:ascii="仿宋" w:eastAsia="仿宋" w:hAnsi="仿宋" w:cs="仿宋" w:hint="eastAsia"/>
                <w:color w:val="000000"/>
                <w:kern w:val="0"/>
                <w:sz w:val="18"/>
                <w:szCs w:val="18"/>
              </w:rPr>
              <w:t>≥40户</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ind w:firstLine="360"/>
              <w:rPr>
                <w:rFonts w:ascii="仿宋" w:eastAsia="仿宋" w:hAnsi="仿宋" w:cs="仿宋"/>
                <w:color w:val="000000"/>
                <w:kern w:val="0"/>
                <w:sz w:val="18"/>
                <w:szCs w:val="18"/>
              </w:rPr>
            </w:pPr>
            <w:r>
              <w:rPr>
                <w:rFonts w:ascii="仿宋" w:eastAsia="仿宋" w:hAnsi="仿宋" w:cs="仿宋" w:hint="eastAsia"/>
                <w:color w:val="000000"/>
                <w:kern w:val="0"/>
                <w:sz w:val="18"/>
                <w:szCs w:val="18"/>
              </w:rPr>
              <w:t>58户</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5</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5</w:t>
            </w: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ascii="仿宋" w:eastAsia="仿宋" w:hAnsi="仿宋" w:cs="仿宋"/>
                <w:color w:val="000000"/>
                <w:kern w:val="0"/>
                <w:sz w:val="18"/>
                <w:szCs w:val="18"/>
              </w:rPr>
            </w:pPr>
          </w:p>
        </w:tc>
      </w:tr>
      <w:tr w:rsidR="00CE1C1D">
        <w:trPr>
          <w:trHeight w:val="198"/>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nil"/>
              <w:bottom w:val="single" w:sz="4" w:space="0" w:color="auto"/>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jc w:val="left"/>
              <w:rPr>
                <w:rFonts w:ascii="仿宋" w:eastAsia="仿宋" w:hAnsi="仿宋" w:cs="仿宋"/>
                <w:color w:val="000000"/>
                <w:kern w:val="0"/>
                <w:sz w:val="18"/>
                <w:szCs w:val="18"/>
              </w:rPr>
            </w:pPr>
            <w:r>
              <w:rPr>
                <w:rFonts w:ascii="仿宋" w:eastAsia="仿宋" w:hAnsi="仿宋" w:cs="仿宋" w:hint="eastAsia"/>
                <w:color w:val="000000"/>
                <w:kern w:val="0"/>
                <w:sz w:val="18"/>
                <w:szCs w:val="18"/>
              </w:rPr>
              <w:t>路灯维修盏数</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≤2000盏</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rPr>
                <w:rFonts w:ascii="仿宋" w:eastAsia="仿宋" w:hAnsi="仿宋" w:cs="仿宋"/>
                <w:color w:val="000000"/>
                <w:kern w:val="0"/>
                <w:sz w:val="18"/>
                <w:szCs w:val="18"/>
              </w:rPr>
            </w:pPr>
            <w:r>
              <w:rPr>
                <w:rFonts w:ascii="仿宋" w:eastAsia="仿宋" w:hAnsi="仿宋" w:cs="仿宋" w:hint="eastAsia"/>
                <w:color w:val="000000"/>
                <w:kern w:val="0"/>
                <w:sz w:val="18"/>
                <w:szCs w:val="18"/>
              </w:rPr>
              <w:t>≥1500盏</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5</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5</w:t>
            </w: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ascii="仿宋" w:eastAsia="仿宋" w:hAnsi="仿宋" w:cs="仿宋"/>
                <w:color w:val="000000"/>
                <w:kern w:val="0"/>
                <w:sz w:val="18"/>
                <w:szCs w:val="18"/>
              </w:rPr>
            </w:pPr>
          </w:p>
        </w:tc>
      </w:tr>
      <w:tr w:rsidR="00CE1C1D">
        <w:trPr>
          <w:trHeight w:val="638"/>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val="restart"/>
            <w:tcBorders>
              <w:top w:val="nil"/>
              <w:left w:val="nil"/>
              <w:right w:val="single" w:sz="4" w:space="0" w:color="auto"/>
            </w:tcBorders>
            <w:noWrap/>
            <w:tcMar>
              <w:top w:w="0" w:type="dxa"/>
              <w:left w:w="0" w:type="dxa"/>
              <w:bottom w:w="0" w:type="dxa"/>
              <w:right w:w="0" w:type="dxa"/>
            </w:tcMar>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质量指标</w:t>
            </w: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jc w:val="left"/>
              <w:rPr>
                <w:rFonts w:eastAsia="仿宋_GB2312"/>
                <w:color w:val="000000"/>
                <w:kern w:val="0"/>
                <w:sz w:val="18"/>
                <w:szCs w:val="18"/>
              </w:rPr>
            </w:pPr>
            <w:r>
              <w:rPr>
                <w:rFonts w:eastAsia="仿宋_GB2312" w:hint="eastAsia"/>
                <w:color w:val="000000"/>
                <w:kern w:val="0"/>
                <w:sz w:val="18"/>
                <w:szCs w:val="18"/>
              </w:rPr>
              <w:t>工程项目质量受监率和工程质量合格率</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ind w:firstLineChars="100" w:firstLine="180"/>
              <w:rPr>
                <w:rFonts w:eastAsia="仿宋_GB2312"/>
                <w:color w:val="000000"/>
                <w:kern w:val="0"/>
                <w:sz w:val="18"/>
                <w:szCs w:val="18"/>
              </w:rPr>
            </w:pPr>
            <w:r>
              <w:rPr>
                <w:rFonts w:eastAsia="仿宋_GB2312" w:hint="eastAsia"/>
                <w:color w:val="000000"/>
                <w:kern w:val="0"/>
                <w:sz w:val="18"/>
                <w:szCs w:val="18"/>
              </w:rPr>
              <w:t>100%</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ind w:firstLine="360"/>
              <w:rPr>
                <w:rFonts w:eastAsia="仿宋_GB2312"/>
                <w:color w:val="000000"/>
                <w:kern w:val="0"/>
                <w:sz w:val="18"/>
                <w:szCs w:val="18"/>
              </w:rPr>
            </w:pPr>
            <w:r>
              <w:rPr>
                <w:rFonts w:eastAsia="仿宋_GB2312" w:hint="eastAsia"/>
                <w:color w:val="000000"/>
                <w:kern w:val="0"/>
                <w:sz w:val="18"/>
                <w:szCs w:val="18"/>
              </w:rPr>
              <w:t>100%</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5</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5</w:t>
            </w: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363"/>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nil"/>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jc w:val="left"/>
              <w:rPr>
                <w:rFonts w:eastAsia="仿宋_GB2312"/>
                <w:color w:val="000000"/>
                <w:kern w:val="0"/>
                <w:sz w:val="18"/>
                <w:szCs w:val="18"/>
              </w:rPr>
            </w:pPr>
            <w:r>
              <w:rPr>
                <w:rFonts w:eastAsia="仿宋_GB2312" w:hint="eastAsia"/>
                <w:color w:val="000000"/>
                <w:kern w:val="0"/>
                <w:sz w:val="18"/>
                <w:szCs w:val="18"/>
              </w:rPr>
              <w:t>财政供养人员控制率</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ind w:firstLineChars="100" w:firstLine="180"/>
              <w:rPr>
                <w:rFonts w:eastAsia="仿宋_GB2312"/>
                <w:color w:val="000000"/>
                <w:kern w:val="0"/>
                <w:sz w:val="18"/>
                <w:szCs w:val="18"/>
              </w:rPr>
            </w:pPr>
            <w:r>
              <w:rPr>
                <w:rFonts w:eastAsia="仿宋_GB2312" w:hint="eastAsia"/>
                <w:color w:val="000000"/>
                <w:kern w:val="0"/>
                <w:sz w:val="18"/>
                <w:szCs w:val="18"/>
              </w:rPr>
              <w:t>≤</w:t>
            </w:r>
            <w:r>
              <w:rPr>
                <w:rFonts w:eastAsia="仿宋_GB2312" w:hint="eastAsia"/>
                <w:color w:val="000000"/>
                <w:kern w:val="0"/>
                <w:sz w:val="18"/>
                <w:szCs w:val="18"/>
              </w:rPr>
              <w:t>100%</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ind w:firstLine="360"/>
              <w:rPr>
                <w:rFonts w:eastAsia="仿宋_GB2312"/>
                <w:color w:val="000000"/>
                <w:kern w:val="0"/>
                <w:sz w:val="18"/>
                <w:szCs w:val="18"/>
              </w:rPr>
            </w:pPr>
            <w:r>
              <w:rPr>
                <w:rFonts w:eastAsia="仿宋_GB2312" w:hint="eastAsia"/>
                <w:color w:val="000000"/>
                <w:kern w:val="0"/>
                <w:sz w:val="18"/>
                <w:szCs w:val="18"/>
              </w:rPr>
              <w:t>70%</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5</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5</w:t>
            </w: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25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nil"/>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jc w:val="left"/>
              <w:rPr>
                <w:rFonts w:eastAsia="仿宋_GB2312"/>
                <w:color w:val="000000"/>
                <w:kern w:val="0"/>
                <w:sz w:val="18"/>
                <w:szCs w:val="18"/>
              </w:rPr>
            </w:pPr>
            <w:r>
              <w:rPr>
                <w:rFonts w:eastAsia="仿宋_GB2312" w:hint="eastAsia"/>
                <w:color w:val="000000"/>
                <w:kern w:val="0"/>
                <w:sz w:val="18"/>
                <w:szCs w:val="18"/>
              </w:rPr>
              <w:t>“三公经费”控制率</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ind w:firstLineChars="100" w:firstLine="180"/>
              <w:rPr>
                <w:rFonts w:eastAsia="仿宋_GB2312"/>
                <w:color w:val="000000"/>
                <w:kern w:val="0"/>
                <w:sz w:val="18"/>
                <w:szCs w:val="18"/>
              </w:rPr>
            </w:pPr>
            <w:r>
              <w:rPr>
                <w:rFonts w:eastAsia="仿宋_GB2312" w:hint="eastAsia"/>
                <w:color w:val="000000"/>
                <w:kern w:val="0"/>
                <w:sz w:val="18"/>
                <w:szCs w:val="18"/>
              </w:rPr>
              <w:t>≤</w:t>
            </w:r>
            <w:r>
              <w:rPr>
                <w:rFonts w:eastAsia="仿宋_GB2312" w:hint="eastAsia"/>
                <w:color w:val="000000"/>
                <w:kern w:val="0"/>
                <w:sz w:val="18"/>
                <w:szCs w:val="18"/>
              </w:rPr>
              <w:t>100%</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100%</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5</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5</w:t>
            </w: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90"/>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nil"/>
              <w:bottom w:val="single" w:sz="4" w:space="0" w:color="auto"/>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jc w:val="left"/>
              <w:rPr>
                <w:rFonts w:eastAsia="仿宋_GB2312"/>
                <w:color w:val="000000"/>
                <w:kern w:val="0"/>
                <w:sz w:val="18"/>
                <w:szCs w:val="18"/>
              </w:rPr>
            </w:pPr>
            <w:r>
              <w:rPr>
                <w:rFonts w:eastAsia="仿宋_GB2312" w:hint="eastAsia"/>
                <w:color w:val="000000"/>
                <w:kern w:val="0"/>
                <w:sz w:val="18"/>
                <w:szCs w:val="18"/>
              </w:rPr>
              <w:t>城镇化增长率</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ind w:firstLineChars="100" w:firstLine="180"/>
              <w:rPr>
                <w:rFonts w:eastAsia="仿宋_GB2312"/>
                <w:color w:val="000000"/>
                <w:kern w:val="0"/>
                <w:sz w:val="18"/>
                <w:szCs w:val="18"/>
              </w:rPr>
            </w:pPr>
            <w:r>
              <w:rPr>
                <w:rFonts w:ascii="仿宋" w:eastAsia="仿宋" w:hAnsi="仿宋" w:cs="仿宋" w:hint="eastAsia"/>
                <w:color w:val="000000"/>
                <w:kern w:val="0"/>
                <w:sz w:val="18"/>
                <w:szCs w:val="18"/>
              </w:rPr>
              <w:t>≥</w:t>
            </w:r>
            <w:r>
              <w:rPr>
                <w:rFonts w:eastAsia="仿宋_GB2312" w:hint="eastAsia"/>
                <w:color w:val="000000"/>
                <w:kern w:val="0"/>
                <w:sz w:val="18"/>
                <w:szCs w:val="18"/>
              </w:rPr>
              <w:t>0.7%</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ind w:firstLineChars="100" w:firstLine="180"/>
              <w:rPr>
                <w:rFonts w:eastAsia="仿宋_GB2312"/>
                <w:color w:val="000000"/>
                <w:kern w:val="0"/>
                <w:sz w:val="18"/>
                <w:szCs w:val="18"/>
              </w:rPr>
            </w:pPr>
            <w:r>
              <w:rPr>
                <w:rFonts w:eastAsia="仿宋_GB2312" w:hint="eastAsia"/>
                <w:color w:val="000000"/>
                <w:kern w:val="0"/>
                <w:sz w:val="18"/>
                <w:szCs w:val="18"/>
              </w:rPr>
              <w:t>≥</w:t>
            </w:r>
            <w:r>
              <w:rPr>
                <w:rFonts w:eastAsia="仿宋_GB2312" w:hint="eastAsia"/>
                <w:color w:val="000000"/>
                <w:kern w:val="0"/>
                <w:sz w:val="18"/>
                <w:szCs w:val="18"/>
              </w:rPr>
              <w:t>0.7%</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5</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5</w:t>
            </w: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25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tcBorders>
              <w:top w:val="nil"/>
              <w:left w:val="nil"/>
              <w:right w:val="single" w:sz="4" w:space="0" w:color="auto"/>
            </w:tcBorders>
            <w:noWrap/>
            <w:tcMar>
              <w:top w:w="0" w:type="dxa"/>
              <w:left w:w="0" w:type="dxa"/>
              <w:bottom w:w="0" w:type="dxa"/>
              <w:right w:w="0" w:type="dxa"/>
            </w:tcMar>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时效指标</w:t>
            </w: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jc w:val="left"/>
              <w:rPr>
                <w:rFonts w:eastAsia="仿宋_GB2312"/>
                <w:color w:val="000000"/>
                <w:kern w:val="0"/>
                <w:sz w:val="18"/>
                <w:szCs w:val="18"/>
              </w:rPr>
            </w:pPr>
            <w:r>
              <w:rPr>
                <w:rFonts w:eastAsia="仿宋_GB2312" w:hint="eastAsia"/>
                <w:color w:val="000000"/>
                <w:kern w:val="0"/>
                <w:sz w:val="18"/>
                <w:szCs w:val="18"/>
              </w:rPr>
              <w:t>项目完成及时率</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ind w:firstLineChars="100" w:firstLine="180"/>
              <w:rPr>
                <w:rFonts w:eastAsia="仿宋_GB2312"/>
                <w:color w:val="000000"/>
                <w:kern w:val="0"/>
                <w:sz w:val="18"/>
                <w:szCs w:val="18"/>
              </w:rPr>
            </w:pPr>
            <w:r>
              <w:rPr>
                <w:rFonts w:eastAsia="仿宋_GB2312" w:hint="eastAsia"/>
                <w:color w:val="000000"/>
                <w:kern w:val="0"/>
                <w:sz w:val="18"/>
                <w:szCs w:val="18"/>
              </w:rPr>
              <w:t>90%</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95%</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5</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5</w:t>
            </w: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100"/>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val="restart"/>
            <w:tcBorders>
              <w:top w:val="nil"/>
              <w:left w:val="nil"/>
              <w:right w:val="single" w:sz="4" w:space="0" w:color="auto"/>
            </w:tcBorders>
            <w:noWrap/>
            <w:tcMar>
              <w:top w:w="0" w:type="dxa"/>
              <w:left w:w="0" w:type="dxa"/>
              <w:bottom w:w="0" w:type="dxa"/>
              <w:right w:w="0" w:type="dxa"/>
            </w:tcMar>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成本指标</w:t>
            </w:r>
          </w:p>
        </w:tc>
        <w:tc>
          <w:tcPr>
            <w:tcW w:w="1508" w:type="dxa"/>
            <w:gridSpan w:val="2"/>
            <w:tcBorders>
              <w:top w:val="nil"/>
              <w:left w:val="nil"/>
              <w:bottom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1088"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16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73"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61"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25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nil"/>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jc w:val="left"/>
              <w:rPr>
                <w:rFonts w:eastAsia="仿宋_GB2312"/>
                <w:color w:val="000000"/>
                <w:kern w:val="0"/>
                <w:sz w:val="18"/>
                <w:szCs w:val="18"/>
              </w:rPr>
            </w:pPr>
            <w:r>
              <w:rPr>
                <w:rFonts w:eastAsia="仿宋_GB2312" w:hint="eastAsia"/>
                <w:color w:val="000000"/>
                <w:kern w:val="0"/>
                <w:sz w:val="18"/>
                <w:szCs w:val="18"/>
              </w:rPr>
              <w:t>部门预算支出</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color w:val="000000"/>
                <w:kern w:val="0"/>
                <w:sz w:val="18"/>
                <w:szCs w:val="18"/>
              </w:rPr>
            </w:pPr>
            <w:r>
              <w:rPr>
                <w:rFonts w:eastAsia="仿宋_GB2312" w:hint="eastAsia"/>
                <w:color w:val="000000"/>
                <w:kern w:val="0"/>
                <w:sz w:val="18"/>
                <w:szCs w:val="18"/>
              </w:rPr>
              <w:t>299.1</w:t>
            </w:r>
            <w:r>
              <w:rPr>
                <w:rFonts w:eastAsia="仿宋_GB2312" w:hint="eastAsia"/>
                <w:color w:val="000000"/>
                <w:kern w:val="0"/>
                <w:sz w:val="18"/>
                <w:szCs w:val="18"/>
              </w:rPr>
              <w:t>万元</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rPr>
                <w:rFonts w:eastAsia="仿宋_GB2312"/>
                <w:color w:val="000000"/>
                <w:kern w:val="0"/>
                <w:sz w:val="18"/>
                <w:szCs w:val="18"/>
              </w:rPr>
            </w:pPr>
            <w:r>
              <w:rPr>
                <w:rFonts w:eastAsia="仿宋_GB2312" w:hint="eastAsia"/>
                <w:color w:val="000000"/>
                <w:kern w:val="0"/>
                <w:sz w:val="18"/>
                <w:szCs w:val="18"/>
              </w:rPr>
              <w:t>381.41</w:t>
            </w:r>
            <w:r>
              <w:rPr>
                <w:rFonts w:eastAsia="仿宋_GB2312" w:hint="eastAsia"/>
                <w:color w:val="000000"/>
                <w:kern w:val="0"/>
                <w:sz w:val="18"/>
                <w:szCs w:val="18"/>
              </w:rPr>
              <w:t>万元</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5</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3</w:t>
            </w: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25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bottom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nil"/>
              <w:bottom w:val="single" w:sz="4" w:space="0" w:color="auto"/>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w:t>
            </w:r>
          </w:p>
        </w:tc>
        <w:tc>
          <w:tcPr>
            <w:tcW w:w="1088"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16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73"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61"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158"/>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val="restart"/>
            <w:tcBorders>
              <w:top w:val="nil"/>
              <w:left w:val="nil"/>
              <w:right w:val="single" w:sz="4" w:space="0" w:color="auto"/>
            </w:tcBorders>
            <w:noWrap/>
            <w:vAlign w:val="center"/>
          </w:tcPr>
          <w:p w:rsidR="00CE1C1D" w:rsidRDefault="00C51615">
            <w:pPr>
              <w:spacing w:line="240" w:lineRule="exact"/>
              <w:jc w:val="left"/>
              <w:rPr>
                <w:rFonts w:eastAsia="仿宋_GB2312"/>
                <w:color w:val="000000"/>
                <w:kern w:val="0"/>
                <w:sz w:val="18"/>
                <w:szCs w:val="18"/>
              </w:rPr>
            </w:pPr>
            <w:r>
              <w:rPr>
                <w:rFonts w:eastAsia="仿宋_GB2312"/>
                <w:color w:val="000000"/>
                <w:kern w:val="0"/>
                <w:sz w:val="18"/>
                <w:szCs w:val="18"/>
              </w:rPr>
              <w:t>效益指标</w:t>
            </w:r>
          </w:p>
          <w:p w:rsidR="00CE1C1D" w:rsidRDefault="00C51615">
            <w:pPr>
              <w:spacing w:line="240" w:lineRule="exact"/>
              <w:jc w:val="left"/>
              <w:rPr>
                <w:rFonts w:eastAsia="仿宋_GB2312"/>
                <w:color w:val="000000"/>
                <w:kern w:val="0"/>
                <w:sz w:val="18"/>
                <w:szCs w:val="18"/>
              </w:rPr>
            </w:pPr>
            <w:r>
              <w:rPr>
                <w:rFonts w:eastAsia="仿宋_GB2312"/>
                <w:color w:val="000000"/>
                <w:kern w:val="0"/>
                <w:sz w:val="18"/>
                <w:szCs w:val="18"/>
              </w:rPr>
              <w:t>（</w:t>
            </w:r>
            <w:r>
              <w:rPr>
                <w:rFonts w:eastAsia="仿宋_GB2312"/>
                <w:color w:val="000000"/>
                <w:kern w:val="0"/>
                <w:sz w:val="18"/>
                <w:szCs w:val="18"/>
              </w:rPr>
              <w:t>30</w:t>
            </w:r>
            <w:r>
              <w:rPr>
                <w:rFonts w:eastAsia="仿宋_GB2312"/>
                <w:color w:val="000000"/>
                <w:kern w:val="0"/>
                <w:sz w:val="18"/>
                <w:szCs w:val="18"/>
              </w:rPr>
              <w:t>分）</w:t>
            </w:r>
          </w:p>
        </w:tc>
        <w:tc>
          <w:tcPr>
            <w:tcW w:w="854" w:type="dxa"/>
            <w:vMerge w:val="restart"/>
            <w:tcBorders>
              <w:top w:val="nil"/>
              <w:left w:val="nil"/>
              <w:right w:val="single" w:sz="4" w:space="0" w:color="auto"/>
            </w:tcBorders>
            <w:noWrap/>
            <w:tcMar>
              <w:top w:w="0" w:type="dxa"/>
              <w:left w:w="0" w:type="dxa"/>
              <w:bottom w:w="0" w:type="dxa"/>
              <w:right w:w="0" w:type="dxa"/>
            </w:tcMar>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经济效益指标</w:t>
            </w: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w:t>
            </w:r>
          </w:p>
        </w:tc>
        <w:tc>
          <w:tcPr>
            <w:tcW w:w="1088"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16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73"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61"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227"/>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nil"/>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w:t>
            </w:r>
          </w:p>
        </w:tc>
        <w:tc>
          <w:tcPr>
            <w:tcW w:w="1088"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16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73"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61"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100"/>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nil"/>
              <w:bottom w:val="single" w:sz="4" w:space="0" w:color="auto"/>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w:t>
            </w:r>
          </w:p>
        </w:tc>
        <w:tc>
          <w:tcPr>
            <w:tcW w:w="1088"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16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73"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61"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25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val="restart"/>
            <w:tcBorders>
              <w:top w:val="nil"/>
              <w:left w:val="nil"/>
              <w:right w:val="single" w:sz="4" w:space="0" w:color="auto"/>
            </w:tcBorders>
            <w:noWrap/>
            <w:tcMar>
              <w:top w:w="0" w:type="dxa"/>
              <w:left w:w="0" w:type="dxa"/>
              <w:bottom w:w="0" w:type="dxa"/>
              <w:right w:w="0" w:type="dxa"/>
            </w:tcMar>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社会</w:t>
            </w:r>
          </w:p>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效益</w:t>
            </w:r>
          </w:p>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指标</w:t>
            </w: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jc w:val="left"/>
              <w:rPr>
                <w:rFonts w:eastAsia="仿宋_GB2312"/>
                <w:color w:val="000000"/>
                <w:kern w:val="0"/>
                <w:sz w:val="18"/>
                <w:szCs w:val="18"/>
              </w:rPr>
            </w:pPr>
            <w:r>
              <w:rPr>
                <w:rFonts w:eastAsia="仿宋_GB2312" w:hint="eastAsia"/>
                <w:color w:val="000000"/>
                <w:kern w:val="0"/>
                <w:sz w:val="18"/>
                <w:szCs w:val="18"/>
              </w:rPr>
              <w:t>提升公共服务能力</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提升</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提升</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10</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10</w:t>
            </w: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25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nil"/>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jc w:val="left"/>
              <w:rPr>
                <w:rFonts w:eastAsia="仿宋_GB2312"/>
                <w:color w:val="000000"/>
                <w:kern w:val="0"/>
                <w:sz w:val="18"/>
                <w:szCs w:val="18"/>
              </w:rPr>
            </w:pPr>
            <w:r>
              <w:rPr>
                <w:rFonts w:eastAsia="仿宋_GB2312" w:hint="eastAsia"/>
                <w:color w:val="000000"/>
                <w:kern w:val="0"/>
                <w:sz w:val="18"/>
                <w:szCs w:val="18"/>
              </w:rPr>
              <w:t>促进房地产平稳健康发展</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促进</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促进</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10</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10</w:t>
            </w: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25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nil"/>
              <w:bottom w:val="single" w:sz="4" w:space="0" w:color="auto"/>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w:t>
            </w:r>
          </w:p>
        </w:tc>
        <w:tc>
          <w:tcPr>
            <w:tcW w:w="1088"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16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73"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61"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25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val="restart"/>
            <w:tcBorders>
              <w:top w:val="nil"/>
              <w:left w:val="nil"/>
              <w:right w:val="single" w:sz="4" w:space="0" w:color="auto"/>
            </w:tcBorders>
            <w:noWrap/>
            <w:tcMar>
              <w:top w:w="0" w:type="dxa"/>
              <w:left w:w="0" w:type="dxa"/>
              <w:bottom w:w="0" w:type="dxa"/>
              <w:right w:w="0" w:type="dxa"/>
            </w:tcMar>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生态效益指标</w:t>
            </w: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jc w:val="left"/>
              <w:rPr>
                <w:rFonts w:eastAsia="仿宋_GB2312"/>
                <w:color w:val="000000"/>
                <w:kern w:val="0"/>
                <w:sz w:val="18"/>
                <w:szCs w:val="18"/>
              </w:rPr>
            </w:pPr>
            <w:r>
              <w:rPr>
                <w:rFonts w:eastAsia="仿宋_GB2312" w:hint="eastAsia"/>
                <w:color w:val="000000"/>
                <w:kern w:val="0"/>
                <w:sz w:val="18"/>
                <w:szCs w:val="18"/>
              </w:rPr>
              <w:t>改善县域水质</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ind w:firstLine="360"/>
              <w:rPr>
                <w:rFonts w:eastAsia="仿宋_GB2312"/>
                <w:color w:val="000000"/>
                <w:kern w:val="0"/>
                <w:sz w:val="18"/>
                <w:szCs w:val="18"/>
              </w:rPr>
            </w:pPr>
            <w:r>
              <w:rPr>
                <w:rFonts w:eastAsia="仿宋_GB2312" w:hint="eastAsia"/>
                <w:color w:val="000000"/>
                <w:kern w:val="0"/>
                <w:sz w:val="18"/>
                <w:szCs w:val="18"/>
              </w:rPr>
              <w:t>改善</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改善</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10</w:t>
            </w: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rPr>
                <w:rFonts w:eastAsia="仿宋_GB2312"/>
                <w:color w:val="000000"/>
                <w:kern w:val="0"/>
                <w:sz w:val="18"/>
                <w:szCs w:val="18"/>
              </w:rPr>
            </w:pPr>
            <w:r>
              <w:rPr>
                <w:rFonts w:eastAsia="仿宋_GB2312" w:hint="eastAsia"/>
                <w:color w:val="000000"/>
                <w:kern w:val="0"/>
                <w:sz w:val="18"/>
                <w:szCs w:val="18"/>
              </w:rPr>
              <w:t>8</w:t>
            </w: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254"/>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nil"/>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指标</w:t>
            </w:r>
            <w:r>
              <w:rPr>
                <w:rFonts w:eastAsia="仿宋_GB2312"/>
                <w:color w:val="000000"/>
                <w:kern w:val="0"/>
                <w:sz w:val="18"/>
                <w:szCs w:val="18"/>
              </w:rPr>
              <w:t>2</w:t>
            </w:r>
            <w:r>
              <w:rPr>
                <w:rFonts w:eastAsia="仿宋_GB2312"/>
                <w:color w:val="000000"/>
                <w:kern w:val="0"/>
                <w:sz w:val="18"/>
                <w:szCs w:val="18"/>
              </w:rPr>
              <w:t>：</w:t>
            </w:r>
          </w:p>
        </w:tc>
        <w:tc>
          <w:tcPr>
            <w:tcW w:w="1088"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16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73"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61"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1236"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r>
      <w:tr w:rsidR="00CE1C1D">
        <w:trPr>
          <w:trHeight w:val="204"/>
          <w:jc w:val="center"/>
        </w:trPr>
        <w:tc>
          <w:tcPr>
            <w:tcW w:w="889" w:type="dxa"/>
            <w:vMerge/>
            <w:tcBorders>
              <w:left w:val="single" w:sz="4" w:space="0" w:color="auto"/>
              <w:bottom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nil"/>
              <w:bottom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nil"/>
              <w:bottom w:val="single" w:sz="4" w:space="0" w:color="auto"/>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c>
          <w:tcPr>
            <w:tcW w:w="773"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c>
          <w:tcPr>
            <w:tcW w:w="1236"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r>
      <w:tr w:rsidR="00CE1C1D">
        <w:trPr>
          <w:trHeight w:val="265"/>
          <w:jc w:val="center"/>
        </w:trPr>
        <w:tc>
          <w:tcPr>
            <w:tcW w:w="889" w:type="dxa"/>
            <w:vMerge w:val="restart"/>
            <w:tcBorders>
              <w:top w:val="single" w:sz="4" w:space="0" w:color="auto"/>
              <w:left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color w:val="000000"/>
                <w:kern w:val="0"/>
                <w:sz w:val="18"/>
                <w:szCs w:val="18"/>
              </w:rPr>
              <w:t>绩</w:t>
            </w:r>
          </w:p>
          <w:p w:rsidR="00CE1C1D" w:rsidRDefault="00C51615">
            <w:pPr>
              <w:spacing w:line="240" w:lineRule="exact"/>
              <w:ind w:firstLine="360"/>
              <w:jc w:val="center"/>
              <w:rPr>
                <w:rFonts w:eastAsia="仿宋_GB2312"/>
                <w:color w:val="000000"/>
                <w:kern w:val="0"/>
                <w:sz w:val="18"/>
                <w:szCs w:val="18"/>
              </w:rPr>
            </w:pPr>
            <w:r>
              <w:rPr>
                <w:rFonts w:eastAsia="仿宋_GB2312"/>
                <w:color w:val="000000"/>
                <w:kern w:val="0"/>
                <w:sz w:val="18"/>
                <w:szCs w:val="18"/>
              </w:rPr>
              <w:lastRenderedPageBreak/>
              <w:t>效</w:t>
            </w:r>
          </w:p>
          <w:p w:rsidR="00CE1C1D" w:rsidRDefault="00C51615">
            <w:pPr>
              <w:spacing w:line="240" w:lineRule="exact"/>
              <w:ind w:firstLine="360"/>
              <w:jc w:val="center"/>
              <w:rPr>
                <w:rFonts w:eastAsia="仿宋_GB2312"/>
                <w:color w:val="000000"/>
                <w:kern w:val="0"/>
                <w:sz w:val="18"/>
                <w:szCs w:val="18"/>
              </w:rPr>
            </w:pPr>
            <w:r>
              <w:rPr>
                <w:rFonts w:eastAsia="仿宋_GB2312"/>
                <w:color w:val="000000"/>
                <w:kern w:val="0"/>
                <w:sz w:val="18"/>
                <w:szCs w:val="18"/>
              </w:rPr>
              <w:t>指</w:t>
            </w:r>
          </w:p>
          <w:p w:rsidR="00CE1C1D" w:rsidRDefault="00C51615">
            <w:pPr>
              <w:spacing w:line="240" w:lineRule="exact"/>
              <w:ind w:firstLine="360"/>
              <w:jc w:val="center"/>
              <w:rPr>
                <w:rFonts w:eastAsia="仿宋_GB2312"/>
                <w:color w:val="000000"/>
                <w:kern w:val="0"/>
                <w:sz w:val="18"/>
                <w:szCs w:val="18"/>
              </w:rPr>
            </w:pPr>
            <w:r>
              <w:rPr>
                <w:rFonts w:eastAsia="仿宋_GB2312"/>
                <w:color w:val="000000"/>
                <w:kern w:val="0"/>
                <w:sz w:val="18"/>
                <w:szCs w:val="18"/>
              </w:rPr>
              <w:t>标</w:t>
            </w:r>
          </w:p>
        </w:tc>
        <w:tc>
          <w:tcPr>
            <w:tcW w:w="796" w:type="dxa"/>
            <w:vMerge w:val="restart"/>
            <w:tcBorders>
              <w:top w:val="single" w:sz="4" w:space="0" w:color="auto"/>
              <w:left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lastRenderedPageBreak/>
              <w:t xml:space="preserve">　</w:t>
            </w:r>
          </w:p>
        </w:tc>
        <w:tc>
          <w:tcPr>
            <w:tcW w:w="854" w:type="dxa"/>
            <w:vMerge w:val="restart"/>
            <w:tcBorders>
              <w:top w:val="single" w:sz="4" w:space="0" w:color="auto"/>
              <w:left w:val="single" w:sz="4" w:space="0" w:color="auto"/>
              <w:right w:val="single" w:sz="4" w:space="0" w:color="auto"/>
            </w:tcBorders>
            <w:noWrap/>
            <w:tcMar>
              <w:top w:w="0" w:type="dxa"/>
              <w:left w:w="0" w:type="dxa"/>
              <w:bottom w:w="0" w:type="dxa"/>
              <w:right w:w="0" w:type="dxa"/>
            </w:tcMar>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可持续</w:t>
            </w:r>
          </w:p>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lastRenderedPageBreak/>
              <w:t>影响指标</w:t>
            </w:r>
          </w:p>
        </w:tc>
        <w:tc>
          <w:tcPr>
            <w:tcW w:w="1508" w:type="dxa"/>
            <w:gridSpan w:val="2"/>
            <w:tcBorders>
              <w:top w:val="single" w:sz="4" w:space="0" w:color="auto"/>
              <w:left w:val="single" w:sz="4" w:space="0" w:color="auto"/>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hint="eastAsia"/>
                <w:color w:val="000000"/>
                <w:kern w:val="0"/>
                <w:sz w:val="18"/>
                <w:szCs w:val="18"/>
              </w:rPr>
              <w:lastRenderedPageBreak/>
              <w:t>促进生态环</w:t>
            </w:r>
            <w:r>
              <w:rPr>
                <w:rFonts w:eastAsia="仿宋_GB2312" w:hint="eastAsia"/>
                <w:color w:val="000000"/>
                <w:kern w:val="0"/>
                <w:sz w:val="18"/>
                <w:szCs w:val="18"/>
              </w:rPr>
              <w:lastRenderedPageBreak/>
              <w:t>境可持续发展</w:t>
            </w:r>
          </w:p>
        </w:tc>
        <w:tc>
          <w:tcPr>
            <w:tcW w:w="1088" w:type="dxa"/>
            <w:tcBorders>
              <w:top w:val="single" w:sz="4" w:space="0" w:color="auto"/>
              <w:left w:val="single" w:sz="4" w:space="0" w:color="auto"/>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hint="eastAsia"/>
                <w:color w:val="000000"/>
                <w:kern w:val="0"/>
                <w:sz w:val="18"/>
                <w:szCs w:val="18"/>
              </w:rPr>
              <w:lastRenderedPageBreak/>
              <w:t>促进</w:t>
            </w:r>
            <w:r>
              <w:rPr>
                <w:rFonts w:eastAsia="仿宋_GB2312"/>
                <w:color w:val="000000"/>
                <w:kern w:val="0"/>
                <w:sz w:val="18"/>
                <w:szCs w:val="18"/>
              </w:rPr>
              <w:t xml:space="preserve">　</w:t>
            </w:r>
          </w:p>
        </w:tc>
        <w:tc>
          <w:tcPr>
            <w:tcW w:w="1166" w:type="dxa"/>
            <w:tcBorders>
              <w:top w:val="single" w:sz="4" w:space="0" w:color="auto"/>
              <w:left w:val="single" w:sz="4" w:space="0" w:color="auto"/>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hint="eastAsia"/>
                <w:color w:val="000000"/>
                <w:kern w:val="0"/>
                <w:sz w:val="18"/>
                <w:szCs w:val="18"/>
              </w:rPr>
              <w:t>促进</w:t>
            </w:r>
            <w:r>
              <w:rPr>
                <w:rFonts w:eastAsia="仿宋_GB2312"/>
                <w:color w:val="000000"/>
                <w:kern w:val="0"/>
                <w:sz w:val="18"/>
                <w:szCs w:val="18"/>
              </w:rPr>
              <w:t xml:space="preserve">　</w:t>
            </w:r>
          </w:p>
        </w:tc>
        <w:tc>
          <w:tcPr>
            <w:tcW w:w="773" w:type="dxa"/>
            <w:tcBorders>
              <w:top w:val="single" w:sz="4" w:space="0" w:color="auto"/>
              <w:left w:val="single" w:sz="4" w:space="0" w:color="auto"/>
              <w:bottom w:val="single" w:sz="4" w:space="0" w:color="auto"/>
              <w:right w:val="single" w:sz="4" w:space="0" w:color="auto"/>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hint="eastAsia"/>
                <w:color w:val="000000"/>
                <w:kern w:val="0"/>
                <w:sz w:val="18"/>
                <w:szCs w:val="18"/>
              </w:rPr>
              <w:t>5</w:t>
            </w:r>
          </w:p>
        </w:tc>
        <w:tc>
          <w:tcPr>
            <w:tcW w:w="761" w:type="dxa"/>
            <w:tcBorders>
              <w:top w:val="single" w:sz="4" w:space="0" w:color="auto"/>
              <w:left w:val="single" w:sz="4" w:space="0" w:color="auto"/>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hint="eastAsia"/>
                <w:color w:val="000000"/>
                <w:kern w:val="0"/>
                <w:sz w:val="18"/>
                <w:szCs w:val="18"/>
              </w:rPr>
              <w:t>3</w:t>
            </w:r>
          </w:p>
        </w:tc>
        <w:tc>
          <w:tcPr>
            <w:tcW w:w="1236" w:type="dxa"/>
            <w:tcBorders>
              <w:top w:val="single" w:sz="4" w:space="0" w:color="auto"/>
              <w:left w:val="single" w:sz="4" w:space="0" w:color="auto"/>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r>
      <w:tr w:rsidR="00CE1C1D">
        <w:trPr>
          <w:trHeight w:val="213"/>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single" w:sz="4" w:space="0" w:color="auto"/>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single" w:sz="4" w:space="0" w:color="auto"/>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指标</w:t>
            </w:r>
            <w:r>
              <w:rPr>
                <w:rFonts w:eastAsia="仿宋_GB2312"/>
                <w:color w:val="000000"/>
                <w:kern w:val="0"/>
                <w:sz w:val="18"/>
                <w:szCs w:val="18"/>
              </w:rPr>
              <w:t>2</w:t>
            </w:r>
            <w:r>
              <w:rPr>
                <w:rFonts w:eastAsia="仿宋_GB2312"/>
                <w:color w:val="000000"/>
                <w:kern w:val="0"/>
                <w:sz w:val="18"/>
                <w:szCs w:val="18"/>
              </w:rPr>
              <w:t>：</w:t>
            </w:r>
          </w:p>
        </w:tc>
        <w:tc>
          <w:tcPr>
            <w:tcW w:w="1088" w:type="dxa"/>
            <w:tcBorders>
              <w:top w:val="single" w:sz="4" w:space="0" w:color="auto"/>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c>
          <w:tcPr>
            <w:tcW w:w="1166" w:type="dxa"/>
            <w:tcBorders>
              <w:top w:val="single" w:sz="4" w:space="0" w:color="auto"/>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c>
          <w:tcPr>
            <w:tcW w:w="773" w:type="dxa"/>
            <w:tcBorders>
              <w:top w:val="single" w:sz="4" w:space="0" w:color="auto"/>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61" w:type="dxa"/>
            <w:tcBorders>
              <w:top w:val="single" w:sz="4" w:space="0" w:color="auto"/>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c>
          <w:tcPr>
            <w:tcW w:w="1236" w:type="dxa"/>
            <w:tcBorders>
              <w:top w:val="single" w:sz="4" w:space="0" w:color="auto"/>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r>
      <w:tr w:rsidR="00CE1C1D">
        <w:trPr>
          <w:trHeight w:val="109"/>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vMerge/>
            <w:tcBorders>
              <w:left w:val="single" w:sz="4" w:space="0" w:color="auto"/>
              <w:bottom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854" w:type="dxa"/>
            <w:vMerge/>
            <w:tcBorders>
              <w:left w:val="single" w:sz="4" w:space="0" w:color="auto"/>
              <w:bottom w:val="single" w:sz="4" w:space="0" w:color="auto"/>
              <w:right w:val="single" w:sz="4" w:space="0" w:color="auto"/>
            </w:tcBorders>
            <w:noWrap/>
            <w:tcMar>
              <w:top w:w="0" w:type="dxa"/>
              <w:left w:w="0" w:type="dxa"/>
              <w:bottom w:w="0" w:type="dxa"/>
              <w:right w:w="0" w:type="dxa"/>
            </w:tcMar>
            <w:vAlign w:val="center"/>
          </w:tcPr>
          <w:p w:rsidR="00CE1C1D" w:rsidRDefault="00CE1C1D">
            <w:pPr>
              <w:spacing w:line="240" w:lineRule="exact"/>
              <w:ind w:firstLine="360"/>
              <w:jc w:val="center"/>
              <w:rPr>
                <w:rFonts w:eastAsia="仿宋_GB2312"/>
                <w:color w:val="000000"/>
                <w:kern w:val="0"/>
                <w:sz w:val="18"/>
                <w:szCs w:val="18"/>
              </w:rPr>
            </w:pPr>
          </w:p>
        </w:tc>
        <w:tc>
          <w:tcPr>
            <w:tcW w:w="1508" w:type="dxa"/>
            <w:gridSpan w:val="2"/>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w:t>
            </w:r>
          </w:p>
        </w:tc>
        <w:tc>
          <w:tcPr>
            <w:tcW w:w="1088"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c>
          <w:tcPr>
            <w:tcW w:w="1166"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c>
          <w:tcPr>
            <w:tcW w:w="773" w:type="dxa"/>
            <w:tcBorders>
              <w:top w:val="nil"/>
              <w:left w:val="nil"/>
              <w:bottom w:val="single" w:sz="4" w:space="0" w:color="auto"/>
              <w:right w:val="single" w:sz="4" w:space="0" w:color="auto"/>
            </w:tcBorders>
            <w:noWrap/>
            <w:vAlign w:val="center"/>
          </w:tcPr>
          <w:p w:rsidR="00CE1C1D" w:rsidRDefault="00CE1C1D">
            <w:pPr>
              <w:spacing w:line="240" w:lineRule="exact"/>
              <w:ind w:firstLine="360"/>
              <w:jc w:val="center"/>
              <w:rPr>
                <w:rFonts w:eastAsia="仿宋_GB2312"/>
                <w:color w:val="000000"/>
                <w:kern w:val="0"/>
                <w:sz w:val="18"/>
                <w:szCs w:val="18"/>
              </w:rPr>
            </w:pPr>
          </w:p>
        </w:tc>
        <w:tc>
          <w:tcPr>
            <w:tcW w:w="761"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c>
          <w:tcPr>
            <w:tcW w:w="1236"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r>
      <w:tr w:rsidR="00CE1C1D">
        <w:trPr>
          <w:trHeight w:val="763"/>
          <w:jc w:val="center"/>
        </w:trPr>
        <w:tc>
          <w:tcPr>
            <w:tcW w:w="889" w:type="dxa"/>
            <w:vMerge/>
            <w:tcBorders>
              <w:left w:val="single" w:sz="4" w:space="0" w:color="auto"/>
              <w:right w:val="single" w:sz="4" w:space="0" w:color="auto"/>
            </w:tcBorders>
            <w:noWrap/>
            <w:vAlign w:val="center"/>
          </w:tcPr>
          <w:p w:rsidR="00CE1C1D" w:rsidRDefault="00CE1C1D">
            <w:pPr>
              <w:spacing w:line="240" w:lineRule="exact"/>
              <w:ind w:firstLine="360"/>
              <w:jc w:val="left"/>
              <w:rPr>
                <w:rFonts w:eastAsia="仿宋_GB2312"/>
                <w:color w:val="000000"/>
                <w:kern w:val="0"/>
                <w:sz w:val="18"/>
                <w:szCs w:val="18"/>
              </w:rPr>
            </w:pPr>
          </w:p>
        </w:tc>
        <w:tc>
          <w:tcPr>
            <w:tcW w:w="796" w:type="dxa"/>
            <w:tcBorders>
              <w:top w:val="nil"/>
              <w:left w:val="nil"/>
              <w:right w:val="single" w:sz="4" w:space="0" w:color="auto"/>
            </w:tcBorders>
            <w:noWrap/>
            <w:vAlign w:val="center"/>
          </w:tcPr>
          <w:p w:rsidR="00CE1C1D" w:rsidRDefault="00C51615">
            <w:pPr>
              <w:spacing w:line="240" w:lineRule="exact"/>
              <w:rPr>
                <w:rFonts w:eastAsia="仿宋_GB2312"/>
                <w:color w:val="000000"/>
                <w:kern w:val="0"/>
                <w:sz w:val="18"/>
                <w:szCs w:val="18"/>
              </w:rPr>
            </w:pPr>
            <w:r>
              <w:rPr>
                <w:rFonts w:eastAsia="仿宋_GB2312"/>
                <w:color w:val="000000"/>
                <w:kern w:val="0"/>
                <w:sz w:val="18"/>
                <w:szCs w:val="18"/>
              </w:rPr>
              <w:t>满意度指标（</w:t>
            </w:r>
            <w:r>
              <w:rPr>
                <w:rFonts w:eastAsia="仿宋_GB2312"/>
                <w:color w:val="000000"/>
                <w:kern w:val="0"/>
                <w:sz w:val="18"/>
                <w:szCs w:val="18"/>
              </w:rPr>
              <w:t>10</w:t>
            </w:r>
            <w:r>
              <w:rPr>
                <w:rFonts w:eastAsia="仿宋_GB2312"/>
                <w:color w:val="000000"/>
                <w:kern w:val="0"/>
                <w:sz w:val="18"/>
                <w:szCs w:val="18"/>
              </w:rPr>
              <w:t>分）</w:t>
            </w:r>
          </w:p>
        </w:tc>
        <w:tc>
          <w:tcPr>
            <w:tcW w:w="854" w:type="dxa"/>
            <w:tcBorders>
              <w:top w:val="nil"/>
              <w:left w:val="nil"/>
              <w:right w:val="single" w:sz="4" w:space="0" w:color="auto"/>
            </w:tcBorders>
            <w:noWrap/>
            <w:tcMar>
              <w:top w:w="0" w:type="dxa"/>
              <w:left w:w="0" w:type="dxa"/>
              <w:bottom w:w="0" w:type="dxa"/>
              <w:right w:w="0" w:type="dxa"/>
            </w:tcMar>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服务</w:t>
            </w:r>
          </w:p>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对象</w:t>
            </w:r>
          </w:p>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满意度</w:t>
            </w:r>
          </w:p>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指标</w:t>
            </w:r>
          </w:p>
        </w:tc>
        <w:tc>
          <w:tcPr>
            <w:tcW w:w="1508" w:type="dxa"/>
            <w:gridSpan w:val="2"/>
            <w:tcBorders>
              <w:top w:val="nil"/>
              <w:left w:val="nil"/>
              <w:bottom w:val="single" w:sz="4" w:space="0" w:color="auto"/>
              <w:right w:val="single" w:sz="4" w:space="0" w:color="auto"/>
            </w:tcBorders>
            <w:noWrap/>
            <w:vAlign w:val="center"/>
          </w:tcPr>
          <w:p w:rsidR="00CE1C1D" w:rsidRDefault="00C51615" w:rsidP="00E633C9">
            <w:pPr>
              <w:spacing w:line="240" w:lineRule="exact"/>
              <w:jc w:val="left"/>
              <w:rPr>
                <w:rFonts w:eastAsia="仿宋_GB2312"/>
                <w:color w:val="000000"/>
                <w:kern w:val="0"/>
                <w:sz w:val="18"/>
                <w:szCs w:val="18"/>
              </w:rPr>
            </w:pPr>
            <w:r>
              <w:rPr>
                <w:rFonts w:eastAsia="仿宋_GB2312" w:hint="eastAsia"/>
                <w:color w:val="000000"/>
                <w:kern w:val="0"/>
                <w:sz w:val="18"/>
                <w:szCs w:val="18"/>
              </w:rPr>
              <w:t>群众满意度</w:t>
            </w:r>
            <w:r w:rsidR="00E633C9">
              <w:rPr>
                <w:rFonts w:eastAsia="仿宋_GB2312" w:hint="eastAsia"/>
                <w:color w:val="000000"/>
                <w:kern w:val="0"/>
                <w:sz w:val="18"/>
                <w:szCs w:val="18"/>
              </w:rPr>
              <w:t>提升</w:t>
            </w:r>
          </w:p>
        </w:tc>
        <w:tc>
          <w:tcPr>
            <w:tcW w:w="1088" w:type="dxa"/>
            <w:tcBorders>
              <w:top w:val="nil"/>
              <w:left w:val="nil"/>
              <w:bottom w:val="single" w:sz="4" w:space="0" w:color="auto"/>
              <w:right w:val="single" w:sz="4" w:space="0" w:color="auto"/>
            </w:tcBorders>
            <w:noWrap/>
            <w:vAlign w:val="center"/>
          </w:tcPr>
          <w:p w:rsidR="00CE1C1D" w:rsidRDefault="00E633C9">
            <w:pPr>
              <w:spacing w:line="240" w:lineRule="exact"/>
              <w:ind w:firstLine="360"/>
              <w:jc w:val="left"/>
              <w:rPr>
                <w:rFonts w:eastAsia="仿宋_GB2312"/>
                <w:color w:val="000000"/>
                <w:kern w:val="0"/>
                <w:sz w:val="18"/>
                <w:szCs w:val="18"/>
              </w:rPr>
            </w:pPr>
            <w:r>
              <w:rPr>
                <w:rFonts w:eastAsia="仿宋_GB2312" w:hint="eastAsia"/>
                <w:color w:val="000000"/>
                <w:kern w:val="0"/>
                <w:sz w:val="18"/>
                <w:szCs w:val="18"/>
              </w:rPr>
              <w:t>提升</w:t>
            </w:r>
          </w:p>
        </w:tc>
        <w:tc>
          <w:tcPr>
            <w:tcW w:w="1166" w:type="dxa"/>
            <w:tcBorders>
              <w:top w:val="nil"/>
              <w:left w:val="nil"/>
              <w:bottom w:val="single" w:sz="4" w:space="0" w:color="auto"/>
              <w:right w:val="single" w:sz="4" w:space="0" w:color="auto"/>
            </w:tcBorders>
            <w:noWrap/>
            <w:vAlign w:val="center"/>
          </w:tcPr>
          <w:p w:rsidR="00CE1C1D" w:rsidRDefault="00C51615" w:rsidP="00E633C9">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r w:rsidR="00E633C9">
              <w:rPr>
                <w:rFonts w:eastAsia="仿宋_GB2312" w:hint="eastAsia"/>
                <w:color w:val="000000"/>
                <w:kern w:val="0"/>
                <w:sz w:val="18"/>
                <w:szCs w:val="18"/>
              </w:rPr>
              <w:t>提升</w:t>
            </w:r>
          </w:p>
        </w:tc>
        <w:tc>
          <w:tcPr>
            <w:tcW w:w="773" w:type="dxa"/>
            <w:tcBorders>
              <w:top w:val="nil"/>
              <w:left w:val="nil"/>
              <w:bottom w:val="single" w:sz="4" w:space="0" w:color="auto"/>
              <w:right w:val="single" w:sz="4" w:space="0" w:color="auto"/>
            </w:tcBorders>
            <w:noWrap/>
            <w:vAlign w:val="center"/>
          </w:tcPr>
          <w:p w:rsidR="00CE1C1D" w:rsidRDefault="001A40F8">
            <w:pPr>
              <w:spacing w:line="240" w:lineRule="exact"/>
              <w:jc w:val="center"/>
              <w:rPr>
                <w:rFonts w:eastAsia="仿宋_GB2312"/>
                <w:color w:val="000000"/>
                <w:kern w:val="0"/>
                <w:sz w:val="18"/>
                <w:szCs w:val="18"/>
              </w:rPr>
            </w:pPr>
            <w:r>
              <w:rPr>
                <w:rFonts w:eastAsia="仿宋_GB2312" w:hint="eastAsia"/>
                <w:color w:val="000000"/>
                <w:kern w:val="0"/>
                <w:sz w:val="18"/>
                <w:szCs w:val="18"/>
              </w:rPr>
              <w:t>5</w:t>
            </w:r>
          </w:p>
        </w:tc>
        <w:tc>
          <w:tcPr>
            <w:tcW w:w="761" w:type="dxa"/>
            <w:tcBorders>
              <w:top w:val="nil"/>
              <w:left w:val="nil"/>
              <w:bottom w:val="single" w:sz="4" w:space="0" w:color="auto"/>
              <w:right w:val="single" w:sz="4" w:space="0" w:color="auto"/>
            </w:tcBorders>
            <w:noWrap/>
            <w:vAlign w:val="center"/>
          </w:tcPr>
          <w:p w:rsidR="00CE1C1D" w:rsidRDefault="001A40F8">
            <w:pPr>
              <w:spacing w:line="240" w:lineRule="exact"/>
              <w:ind w:firstLine="360"/>
              <w:jc w:val="left"/>
              <w:rPr>
                <w:rFonts w:eastAsia="仿宋_GB2312"/>
                <w:color w:val="000000"/>
                <w:kern w:val="0"/>
                <w:sz w:val="18"/>
                <w:szCs w:val="18"/>
              </w:rPr>
            </w:pPr>
            <w:r>
              <w:rPr>
                <w:rFonts w:eastAsia="仿宋_GB2312" w:hint="eastAsia"/>
                <w:color w:val="000000"/>
                <w:kern w:val="0"/>
                <w:sz w:val="18"/>
                <w:szCs w:val="18"/>
              </w:rPr>
              <w:t>5</w:t>
            </w:r>
            <w:r w:rsidR="00C51615">
              <w:rPr>
                <w:rFonts w:eastAsia="仿宋_GB2312"/>
                <w:color w:val="000000"/>
                <w:kern w:val="0"/>
                <w:sz w:val="18"/>
                <w:szCs w:val="18"/>
              </w:rPr>
              <w:t xml:space="preserve">　</w:t>
            </w:r>
          </w:p>
        </w:tc>
        <w:tc>
          <w:tcPr>
            <w:tcW w:w="1236"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r>
      <w:tr w:rsidR="00CE1C1D">
        <w:trPr>
          <w:trHeight w:val="295"/>
          <w:jc w:val="center"/>
        </w:trPr>
        <w:tc>
          <w:tcPr>
            <w:tcW w:w="6301" w:type="dxa"/>
            <w:gridSpan w:val="7"/>
            <w:tcBorders>
              <w:top w:val="single" w:sz="4" w:space="0" w:color="auto"/>
              <w:left w:val="single" w:sz="4" w:space="0" w:color="auto"/>
              <w:bottom w:val="single" w:sz="4" w:space="0" w:color="auto"/>
              <w:right w:val="single" w:sz="4" w:space="0" w:color="000000"/>
            </w:tcBorders>
            <w:noWrap/>
            <w:vAlign w:val="center"/>
          </w:tcPr>
          <w:p w:rsidR="00CE1C1D" w:rsidRDefault="00C51615">
            <w:pPr>
              <w:spacing w:line="240" w:lineRule="exact"/>
              <w:ind w:firstLine="360"/>
              <w:jc w:val="center"/>
              <w:rPr>
                <w:rFonts w:eastAsia="仿宋_GB2312"/>
                <w:color w:val="000000"/>
                <w:kern w:val="0"/>
                <w:sz w:val="18"/>
                <w:szCs w:val="18"/>
              </w:rPr>
            </w:pPr>
            <w:r>
              <w:rPr>
                <w:rFonts w:eastAsia="仿宋_GB2312"/>
                <w:color w:val="000000"/>
                <w:kern w:val="0"/>
                <w:sz w:val="18"/>
                <w:szCs w:val="18"/>
              </w:rPr>
              <w:t>总分</w:t>
            </w:r>
          </w:p>
        </w:tc>
        <w:tc>
          <w:tcPr>
            <w:tcW w:w="773" w:type="dxa"/>
            <w:tcBorders>
              <w:top w:val="nil"/>
              <w:left w:val="nil"/>
              <w:bottom w:val="single" w:sz="4" w:space="0" w:color="auto"/>
              <w:right w:val="single" w:sz="4" w:space="0" w:color="auto"/>
            </w:tcBorders>
            <w:noWrap/>
            <w:vAlign w:val="center"/>
          </w:tcPr>
          <w:p w:rsidR="00CE1C1D" w:rsidRDefault="00C51615">
            <w:pPr>
              <w:spacing w:line="240" w:lineRule="exact"/>
              <w:jc w:val="center"/>
              <w:rPr>
                <w:rFonts w:eastAsia="仿宋_GB2312"/>
                <w:color w:val="000000"/>
                <w:kern w:val="0"/>
                <w:sz w:val="18"/>
                <w:szCs w:val="18"/>
              </w:rPr>
            </w:pPr>
            <w:r>
              <w:rPr>
                <w:rFonts w:eastAsia="仿宋_GB2312"/>
                <w:color w:val="000000"/>
                <w:kern w:val="0"/>
                <w:sz w:val="18"/>
                <w:szCs w:val="18"/>
              </w:rPr>
              <w:t>100</w:t>
            </w:r>
          </w:p>
        </w:tc>
        <w:tc>
          <w:tcPr>
            <w:tcW w:w="761" w:type="dxa"/>
            <w:tcBorders>
              <w:top w:val="nil"/>
              <w:left w:val="nil"/>
              <w:bottom w:val="single" w:sz="4" w:space="0" w:color="auto"/>
              <w:right w:val="single" w:sz="4" w:space="0" w:color="auto"/>
            </w:tcBorders>
            <w:noWrap/>
            <w:vAlign w:val="center"/>
          </w:tcPr>
          <w:p w:rsidR="00CE1C1D" w:rsidRDefault="00C51615" w:rsidP="001A40F8">
            <w:pPr>
              <w:spacing w:line="240" w:lineRule="exact"/>
              <w:jc w:val="left"/>
              <w:rPr>
                <w:rFonts w:eastAsia="仿宋_GB2312"/>
                <w:color w:val="000000"/>
                <w:kern w:val="0"/>
                <w:sz w:val="18"/>
                <w:szCs w:val="18"/>
              </w:rPr>
            </w:pPr>
            <w:r>
              <w:rPr>
                <w:rFonts w:eastAsia="仿宋_GB2312" w:hint="eastAsia"/>
                <w:color w:val="000000"/>
                <w:kern w:val="0"/>
                <w:sz w:val="18"/>
                <w:szCs w:val="18"/>
              </w:rPr>
              <w:t>93.8</w:t>
            </w:r>
            <w:r w:rsidR="001A40F8">
              <w:rPr>
                <w:rFonts w:eastAsia="仿宋_GB2312" w:hint="eastAsia"/>
                <w:color w:val="000000"/>
                <w:kern w:val="0"/>
                <w:sz w:val="18"/>
                <w:szCs w:val="18"/>
              </w:rPr>
              <w:t>2</w:t>
            </w:r>
            <w:r>
              <w:rPr>
                <w:rFonts w:eastAsia="仿宋_GB2312"/>
                <w:color w:val="000000"/>
                <w:kern w:val="0"/>
                <w:sz w:val="18"/>
                <w:szCs w:val="18"/>
              </w:rPr>
              <w:t xml:space="preserve">　</w:t>
            </w:r>
          </w:p>
        </w:tc>
        <w:tc>
          <w:tcPr>
            <w:tcW w:w="1236" w:type="dxa"/>
            <w:tcBorders>
              <w:top w:val="nil"/>
              <w:left w:val="nil"/>
              <w:bottom w:val="single" w:sz="4" w:space="0" w:color="auto"/>
              <w:right w:val="single" w:sz="4" w:space="0" w:color="auto"/>
            </w:tcBorders>
            <w:noWrap/>
            <w:vAlign w:val="center"/>
          </w:tcPr>
          <w:p w:rsidR="00CE1C1D" w:rsidRDefault="00C51615">
            <w:pPr>
              <w:spacing w:line="240" w:lineRule="exact"/>
              <w:ind w:firstLine="360"/>
              <w:jc w:val="left"/>
              <w:rPr>
                <w:rFonts w:eastAsia="仿宋_GB2312"/>
                <w:color w:val="000000"/>
                <w:kern w:val="0"/>
                <w:sz w:val="18"/>
                <w:szCs w:val="18"/>
              </w:rPr>
            </w:pPr>
            <w:r>
              <w:rPr>
                <w:rFonts w:eastAsia="仿宋_GB2312"/>
                <w:color w:val="000000"/>
                <w:kern w:val="0"/>
                <w:sz w:val="18"/>
                <w:szCs w:val="18"/>
              </w:rPr>
              <w:t xml:space="preserve">　</w:t>
            </w:r>
          </w:p>
        </w:tc>
      </w:tr>
    </w:tbl>
    <w:p w:rsidR="00CE1C1D" w:rsidRDefault="00C51615">
      <w:pPr>
        <w:spacing w:line="600" w:lineRule="exact"/>
        <w:ind w:firstLine="420"/>
        <w:jc w:val="left"/>
        <w:rPr>
          <w:rFonts w:eastAsia="仿宋_GB2312"/>
          <w:kern w:val="0"/>
          <w:szCs w:val="21"/>
        </w:rPr>
      </w:pPr>
      <w:r>
        <w:rPr>
          <w:rFonts w:eastAsia="仿宋_GB2312"/>
          <w:kern w:val="0"/>
          <w:szCs w:val="21"/>
        </w:rPr>
        <w:t>填表人：</w:t>
      </w:r>
      <w:proofErr w:type="gramStart"/>
      <w:r>
        <w:rPr>
          <w:rFonts w:eastAsia="仿宋_GB2312" w:hint="eastAsia"/>
          <w:kern w:val="0"/>
          <w:szCs w:val="21"/>
        </w:rPr>
        <w:t>罗蕾</w:t>
      </w:r>
      <w:proofErr w:type="gramEnd"/>
      <w:r>
        <w:rPr>
          <w:rFonts w:eastAsia="仿宋_GB2312"/>
          <w:kern w:val="0"/>
          <w:szCs w:val="21"/>
        </w:rPr>
        <w:t xml:space="preserve">        </w:t>
      </w:r>
      <w:r>
        <w:rPr>
          <w:rFonts w:eastAsia="仿宋_GB2312"/>
          <w:kern w:val="0"/>
          <w:szCs w:val="21"/>
        </w:rPr>
        <w:t>填报日期：</w:t>
      </w:r>
      <w:r>
        <w:rPr>
          <w:rFonts w:eastAsia="仿宋_GB2312" w:hint="eastAsia"/>
          <w:kern w:val="0"/>
          <w:szCs w:val="21"/>
        </w:rPr>
        <w:t>2025</w:t>
      </w:r>
      <w:r>
        <w:rPr>
          <w:rFonts w:eastAsia="仿宋_GB2312" w:hint="eastAsia"/>
          <w:kern w:val="0"/>
          <w:szCs w:val="21"/>
        </w:rPr>
        <w:t>年</w:t>
      </w:r>
      <w:r>
        <w:rPr>
          <w:rFonts w:eastAsia="仿宋_GB2312" w:hint="eastAsia"/>
          <w:kern w:val="0"/>
          <w:szCs w:val="21"/>
        </w:rPr>
        <w:t>4</w:t>
      </w:r>
      <w:r>
        <w:rPr>
          <w:rFonts w:eastAsia="仿宋_GB2312" w:hint="eastAsia"/>
          <w:kern w:val="0"/>
          <w:szCs w:val="21"/>
        </w:rPr>
        <w:t>月</w:t>
      </w:r>
      <w:r>
        <w:rPr>
          <w:rFonts w:eastAsia="仿宋_GB2312" w:hint="eastAsia"/>
          <w:kern w:val="0"/>
          <w:szCs w:val="21"/>
        </w:rPr>
        <w:t>10</w:t>
      </w:r>
      <w:r>
        <w:rPr>
          <w:rFonts w:eastAsia="仿宋_GB2312" w:hint="eastAsia"/>
          <w:kern w:val="0"/>
          <w:szCs w:val="21"/>
        </w:rPr>
        <w:t>日</w:t>
      </w:r>
      <w:r>
        <w:rPr>
          <w:rFonts w:eastAsia="仿宋_GB2312"/>
          <w:kern w:val="0"/>
          <w:szCs w:val="21"/>
        </w:rPr>
        <w:t xml:space="preserve">   </w:t>
      </w:r>
      <w:r>
        <w:rPr>
          <w:rFonts w:eastAsia="仿宋_GB2312"/>
          <w:kern w:val="0"/>
          <w:szCs w:val="21"/>
        </w:rPr>
        <w:t>联系电话：</w:t>
      </w:r>
      <w:r>
        <w:rPr>
          <w:rFonts w:eastAsia="仿宋_GB2312" w:hint="eastAsia"/>
          <w:kern w:val="0"/>
          <w:szCs w:val="21"/>
        </w:rPr>
        <w:t>13337392720</w:t>
      </w:r>
      <w:r>
        <w:rPr>
          <w:rFonts w:eastAsia="仿宋_GB2312"/>
          <w:kern w:val="0"/>
          <w:szCs w:val="21"/>
        </w:rPr>
        <w:t xml:space="preserve">          </w:t>
      </w:r>
      <w:r>
        <w:rPr>
          <w:rFonts w:eastAsia="仿宋_GB2312"/>
          <w:kern w:val="0"/>
          <w:szCs w:val="21"/>
        </w:rPr>
        <w:t>单位负责人签字：</w:t>
      </w:r>
      <w:r>
        <w:rPr>
          <w:rFonts w:eastAsia="仿宋_GB2312" w:hint="eastAsia"/>
          <w:kern w:val="0"/>
          <w:szCs w:val="21"/>
        </w:rPr>
        <w:t>周玉科</w:t>
      </w:r>
    </w:p>
    <w:p w:rsidR="00CE1C1D" w:rsidRDefault="00CE1C1D">
      <w:pPr>
        <w:spacing w:line="600" w:lineRule="exact"/>
        <w:rPr>
          <w:rFonts w:ascii="仿宋" w:eastAsia="仿宋" w:hAnsi="仿宋" w:cs="仿宋"/>
          <w:kern w:val="0"/>
        </w:rPr>
      </w:pPr>
    </w:p>
    <w:sectPr w:rsidR="00CE1C1D" w:rsidSect="00CE1C1D">
      <w:pgSz w:w="11905" w:h="16837"/>
      <w:pgMar w:top="1440" w:right="1800" w:bottom="1440" w:left="1800" w:header="720" w:footer="992" w:gutter="0"/>
      <w:pgNumType w:fmt="numberInDash"/>
      <w:cols w:space="720"/>
      <w:docGrid w:linePitch="636" w:charSpace="2083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1C1D" w:rsidRDefault="00CE1C1D" w:rsidP="00CE1C1D">
      <w:r>
        <w:separator/>
      </w:r>
    </w:p>
  </w:endnote>
  <w:endnote w:type="continuationSeparator" w:id="1">
    <w:p w:rsidR="00CE1C1D" w:rsidRDefault="00CE1C1D" w:rsidP="00CE1C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微软雅黑"/>
    <w:charset w:val="86"/>
    <w:family w:val="auto"/>
    <w:pitch w:val="default"/>
    <w:sig w:usb0="00000000" w:usb1="00000000" w:usb2="00000000" w:usb3="00000000" w:csb0="00040000" w:csb1="00000000"/>
  </w:font>
  <w:font w:name="仿宋_GB2312">
    <w:altName w:val="仿宋"/>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方正小标宋简体">
    <w:altName w:val="黑体"/>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C1D" w:rsidRDefault="00A9706B">
    <w:pPr>
      <w:pStyle w:val="a5"/>
      <w:ind w:right="360" w:firstLine="360"/>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CE1C1D" w:rsidRDefault="00A9706B">
                <w:pPr>
                  <w:pStyle w:val="a5"/>
                  <w:rPr>
                    <w:sz w:val="24"/>
                    <w:szCs w:val="24"/>
                  </w:rPr>
                </w:pPr>
                <w:r>
                  <w:rPr>
                    <w:sz w:val="24"/>
                    <w:szCs w:val="24"/>
                  </w:rPr>
                  <w:fldChar w:fldCharType="begin"/>
                </w:r>
                <w:r w:rsidR="00C51615">
                  <w:rPr>
                    <w:sz w:val="24"/>
                    <w:szCs w:val="24"/>
                  </w:rPr>
                  <w:instrText xml:space="preserve"> PAGE  \* MERGEFORMAT </w:instrText>
                </w:r>
                <w:r>
                  <w:rPr>
                    <w:sz w:val="24"/>
                    <w:szCs w:val="24"/>
                  </w:rPr>
                  <w:fldChar w:fldCharType="separate"/>
                </w:r>
                <w:r w:rsidR="00B0142C">
                  <w:rPr>
                    <w:noProof/>
                    <w:sz w:val="24"/>
                    <w:szCs w:val="24"/>
                  </w:rPr>
                  <w:t>- 12 -</w:t>
                </w:r>
                <w:r>
                  <w:rPr>
                    <w:sz w:val="24"/>
                    <w:szCs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1C1D" w:rsidRDefault="00CE1C1D" w:rsidP="00CE1C1D">
      <w:r>
        <w:separator/>
      </w:r>
    </w:p>
  </w:footnote>
  <w:footnote w:type="continuationSeparator" w:id="1">
    <w:p w:rsidR="00CE1C1D" w:rsidRDefault="00CE1C1D" w:rsidP="00CE1C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C1D" w:rsidRDefault="00CE1C1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F948F8"/>
    <w:multiLevelType w:val="singleLevel"/>
    <w:tmpl w:val="BDF948F8"/>
    <w:lvl w:ilvl="0">
      <w:start w:val="7"/>
      <w:numFmt w:val="chineseCounting"/>
      <w:suff w:val="nothing"/>
      <w:lvlText w:val="%1、"/>
      <w:lvlJc w:val="left"/>
      <w:rPr>
        <w:rFonts w:hint="eastAsia"/>
      </w:rPr>
    </w:lvl>
  </w:abstractNum>
  <w:abstractNum w:abstractNumId="1">
    <w:nsid w:val="EC81D1B1"/>
    <w:multiLevelType w:val="singleLevel"/>
    <w:tmpl w:val="EC81D1B1"/>
    <w:lvl w:ilvl="0">
      <w:start w:val="1"/>
      <w:numFmt w:val="decimal"/>
      <w:suff w:val="nothing"/>
      <w:lvlText w:val="%1、"/>
      <w:lvlJc w:val="left"/>
    </w:lvl>
  </w:abstractNum>
  <w:abstractNum w:abstractNumId="2">
    <w:nsid w:val="03275B82"/>
    <w:multiLevelType w:val="singleLevel"/>
    <w:tmpl w:val="03275B82"/>
    <w:lvl w:ilvl="0">
      <w:start w:val="2"/>
      <w:numFmt w:val="chineseCounting"/>
      <w:suff w:val="nothing"/>
      <w:lvlText w:val="（%1）"/>
      <w:lvlJc w:val="left"/>
      <w:rPr>
        <w:rFonts w:hint="eastAsia"/>
      </w:rPr>
    </w:lvl>
  </w:abstractNum>
  <w:abstractNum w:abstractNumId="3">
    <w:nsid w:val="07A00798"/>
    <w:multiLevelType w:val="singleLevel"/>
    <w:tmpl w:val="07A00798"/>
    <w:lvl w:ilvl="0">
      <w:start w:val="6"/>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IzNTM3MGZmNTRlZjJkMTFiMTlkMmVmMDhhZTU1YjcifQ=="/>
  </w:docVars>
  <w:rsids>
    <w:rsidRoot w:val="18D538B0"/>
    <w:rsid w:val="001A40F8"/>
    <w:rsid w:val="003752C8"/>
    <w:rsid w:val="004B48CF"/>
    <w:rsid w:val="00607FA8"/>
    <w:rsid w:val="007A6C63"/>
    <w:rsid w:val="00A9706B"/>
    <w:rsid w:val="00B0142C"/>
    <w:rsid w:val="00C51615"/>
    <w:rsid w:val="00CE1C1D"/>
    <w:rsid w:val="00CE2A27"/>
    <w:rsid w:val="00D53425"/>
    <w:rsid w:val="00E633C9"/>
    <w:rsid w:val="00F66226"/>
    <w:rsid w:val="01243634"/>
    <w:rsid w:val="015E0632"/>
    <w:rsid w:val="01600BAC"/>
    <w:rsid w:val="018067FB"/>
    <w:rsid w:val="018E17F6"/>
    <w:rsid w:val="019127B6"/>
    <w:rsid w:val="019329D2"/>
    <w:rsid w:val="01A4698D"/>
    <w:rsid w:val="01B34E22"/>
    <w:rsid w:val="01B56A63"/>
    <w:rsid w:val="01B6046E"/>
    <w:rsid w:val="01B91D0C"/>
    <w:rsid w:val="01CE57B8"/>
    <w:rsid w:val="01CF7782"/>
    <w:rsid w:val="01E50D53"/>
    <w:rsid w:val="01EB6738"/>
    <w:rsid w:val="01FE3B56"/>
    <w:rsid w:val="025263E9"/>
    <w:rsid w:val="027A76EE"/>
    <w:rsid w:val="02FA25DD"/>
    <w:rsid w:val="039B2BEF"/>
    <w:rsid w:val="03A013D6"/>
    <w:rsid w:val="03B24C65"/>
    <w:rsid w:val="03B40C48"/>
    <w:rsid w:val="03BB1DE6"/>
    <w:rsid w:val="03D2624F"/>
    <w:rsid w:val="03E272F9"/>
    <w:rsid w:val="04001E75"/>
    <w:rsid w:val="040501C3"/>
    <w:rsid w:val="04155920"/>
    <w:rsid w:val="049A7BD3"/>
    <w:rsid w:val="04A96068"/>
    <w:rsid w:val="04DF7CDC"/>
    <w:rsid w:val="050B0AD1"/>
    <w:rsid w:val="0526590B"/>
    <w:rsid w:val="05323055"/>
    <w:rsid w:val="0575419C"/>
    <w:rsid w:val="0593017A"/>
    <w:rsid w:val="05AD7DDA"/>
    <w:rsid w:val="05BB1A9E"/>
    <w:rsid w:val="05D709B3"/>
    <w:rsid w:val="05E337FC"/>
    <w:rsid w:val="06396EE5"/>
    <w:rsid w:val="06536294"/>
    <w:rsid w:val="06F51A39"/>
    <w:rsid w:val="07155C37"/>
    <w:rsid w:val="071F2B16"/>
    <w:rsid w:val="07287718"/>
    <w:rsid w:val="074B78AB"/>
    <w:rsid w:val="074D22E3"/>
    <w:rsid w:val="077E558A"/>
    <w:rsid w:val="07C35693"/>
    <w:rsid w:val="086C1887"/>
    <w:rsid w:val="08D12032"/>
    <w:rsid w:val="08F430D4"/>
    <w:rsid w:val="08FA6E92"/>
    <w:rsid w:val="091066B6"/>
    <w:rsid w:val="095E3180"/>
    <w:rsid w:val="09833F19"/>
    <w:rsid w:val="09891534"/>
    <w:rsid w:val="099472E7"/>
    <w:rsid w:val="09972933"/>
    <w:rsid w:val="09D347BB"/>
    <w:rsid w:val="09D65B51"/>
    <w:rsid w:val="09E35B78"/>
    <w:rsid w:val="0A314B36"/>
    <w:rsid w:val="0A40746F"/>
    <w:rsid w:val="0A6273E5"/>
    <w:rsid w:val="0A686BF6"/>
    <w:rsid w:val="0A9D21CB"/>
    <w:rsid w:val="0AD96F7B"/>
    <w:rsid w:val="0AE24082"/>
    <w:rsid w:val="0B1D155E"/>
    <w:rsid w:val="0B301291"/>
    <w:rsid w:val="0BC65752"/>
    <w:rsid w:val="0C6B6720"/>
    <w:rsid w:val="0C760F26"/>
    <w:rsid w:val="0C8D3125"/>
    <w:rsid w:val="0C9E6D20"/>
    <w:rsid w:val="0CBD4DA7"/>
    <w:rsid w:val="0CBF1356"/>
    <w:rsid w:val="0CC46135"/>
    <w:rsid w:val="0CC779D3"/>
    <w:rsid w:val="0CD65E68"/>
    <w:rsid w:val="0CDD2D53"/>
    <w:rsid w:val="0D766D04"/>
    <w:rsid w:val="0DD74424"/>
    <w:rsid w:val="0E525B2D"/>
    <w:rsid w:val="0E8F2773"/>
    <w:rsid w:val="0EE24651"/>
    <w:rsid w:val="0EE4486D"/>
    <w:rsid w:val="0F31382A"/>
    <w:rsid w:val="0F582B65"/>
    <w:rsid w:val="0FB35FED"/>
    <w:rsid w:val="10060813"/>
    <w:rsid w:val="10196798"/>
    <w:rsid w:val="101A42BE"/>
    <w:rsid w:val="10234F21"/>
    <w:rsid w:val="1024256C"/>
    <w:rsid w:val="107F4121"/>
    <w:rsid w:val="10BD4364"/>
    <w:rsid w:val="10C57C4D"/>
    <w:rsid w:val="10FD39C4"/>
    <w:rsid w:val="112B6C40"/>
    <w:rsid w:val="11456604"/>
    <w:rsid w:val="11553800"/>
    <w:rsid w:val="115630D4"/>
    <w:rsid w:val="115B4B8E"/>
    <w:rsid w:val="117C2E73"/>
    <w:rsid w:val="11AD363C"/>
    <w:rsid w:val="11E9622E"/>
    <w:rsid w:val="122D02D9"/>
    <w:rsid w:val="123B762F"/>
    <w:rsid w:val="12607728"/>
    <w:rsid w:val="126104A5"/>
    <w:rsid w:val="12771554"/>
    <w:rsid w:val="1292638E"/>
    <w:rsid w:val="12A83E03"/>
    <w:rsid w:val="130F3E82"/>
    <w:rsid w:val="13113C31"/>
    <w:rsid w:val="13BD568C"/>
    <w:rsid w:val="13C57FC2"/>
    <w:rsid w:val="13DD7ADC"/>
    <w:rsid w:val="13E40E6B"/>
    <w:rsid w:val="13EB2DF0"/>
    <w:rsid w:val="144F5156"/>
    <w:rsid w:val="14740441"/>
    <w:rsid w:val="147F2942"/>
    <w:rsid w:val="14B52807"/>
    <w:rsid w:val="14E46C49"/>
    <w:rsid w:val="14EF5D19"/>
    <w:rsid w:val="15023C9F"/>
    <w:rsid w:val="152D239E"/>
    <w:rsid w:val="15396F94"/>
    <w:rsid w:val="15744470"/>
    <w:rsid w:val="15916DD0"/>
    <w:rsid w:val="15C076B6"/>
    <w:rsid w:val="15FA6724"/>
    <w:rsid w:val="167504A0"/>
    <w:rsid w:val="1711641B"/>
    <w:rsid w:val="17147CB9"/>
    <w:rsid w:val="17233A58"/>
    <w:rsid w:val="174148B4"/>
    <w:rsid w:val="1767588B"/>
    <w:rsid w:val="176D1177"/>
    <w:rsid w:val="178A1D29"/>
    <w:rsid w:val="17D42FA4"/>
    <w:rsid w:val="18383533"/>
    <w:rsid w:val="183A374F"/>
    <w:rsid w:val="184E2D57"/>
    <w:rsid w:val="18956BD8"/>
    <w:rsid w:val="18BC23B6"/>
    <w:rsid w:val="18BD1C8B"/>
    <w:rsid w:val="18D538B0"/>
    <w:rsid w:val="18DF42F7"/>
    <w:rsid w:val="18E032C2"/>
    <w:rsid w:val="19662322"/>
    <w:rsid w:val="19954A44"/>
    <w:rsid w:val="19A277FE"/>
    <w:rsid w:val="19CC487B"/>
    <w:rsid w:val="1A073B05"/>
    <w:rsid w:val="1A27385F"/>
    <w:rsid w:val="1A440A74"/>
    <w:rsid w:val="1A5605E9"/>
    <w:rsid w:val="1A754EF4"/>
    <w:rsid w:val="1B326960"/>
    <w:rsid w:val="1B8B42C2"/>
    <w:rsid w:val="1BB76E65"/>
    <w:rsid w:val="1BC31CAE"/>
    <w:rsid w:val="1BCD6688"/>
    <w:rsid w:val="1BD417C5"/>
    <w:rsid w:val="1C986C96"/>
    <w:rsid w:val="1CA218C3"/>
    <w:rsid w:val="1CB05D8E"/>
    <w:rsid w:val="1CCF110C"/>
    <w:rsid w:val="1D6E17A5"/>
    <w:rsid w:val="1D743260"/>
    <w:rsid w:val="1D9456B0"/>
    <w:rsid w:val="1DEB1048"/>
    <w:rsid w:val="1E0F4D36"/>
    <w:rsid w:val="1E164317"/>
    <w:rsid w:val="1E727ECB"/>
    <w:rsid w:val="1EA57449"/>
    <w:rsid w:val="1EDD568A"/>
    <w:rsid w:val="1F02489B"/>
    <w:rsid w:val="1F0E3240"/>
    <w:rsid w:val="1F3A2287"/>
    <w:rsid w:val="1F3D3B25"/>
    <w:rsid w:val="1F58270D"/>
    <w:rsid w:val="1F5F584A"/>
    <w:rsid w:val="1FA31533"/>
    <w:rsid w:val="1FBC0EEE"/>
    <w:rsid w:val="1FDB75C6"/>
    <w:rsid w:val="1FFE1506"/>
    <w:rsid w:val="206A094A"/>
    <w:rsid w:val="211A411E"/>
    <w:rsid w:val="21260D15"/>
    <w:rsid w:val="21274A8D"/>
    <w:rsid w:val="212D20A3"/>
    <w:rsid w:val="213827F6"/>
    <w:rsid w:val="21771570"/>
    <w:rsid w:val="21796BC2"/>
    <w:rsid w:val="21B552CB"/>
    <w:rsid w:val="21F4671D"/>
    <w:rsid w:val="220527FD"/>
    <w:rsid w:val="220D3D43"/>
    <w:rsid w:val="22BE0E76"/>
    <w:rsid w:val="22DE4C55"/>
    <w:rsid w:val="22EE5862"/>
    <w:rsid w:val="23250B58"/>
    <w:rsid w:val="23621DAC"/>
    <w:rsid w:val="23696C97"/>
    <w:rsid w:val="23D04F68"/>
    <w:rsid w:val="24457704"/>
    <w:rsid w:val="244A2F6C"/>
    <w:rsid w:val="2483632E"/>
    <w:rsid w:val="24883A94"/>
    <w:rsid w:val="24AE34FB"/>
    <w:rsid w:val="24F9229C"/>
    <w:rsid w:val="25096983"/>
    <w:rsid w:val="251A293E"/>
    <w:rsid w:val="25253091"/>
    <w:rsid w:val="25333A00"/>
    <w:rsid w:val="25550C1E"/>
    <w:rsid w:val="259F2E44"/>
    <w:rsid w:val="25B05D49"/>
    <w:rsid w:val="25C91C6F"/>
    <w:rsid w:val="25F72C80"/>
    <w:rsid w:val="265C2AE3"/>
    <w:rsid w:val="266D2F42"/>
    <w:rsid w:val="26834513"/>
    <w:rsid w:val="26A12BEB"/>
    <w:rsid w:val="273852FE"/>
    <w:rsid w:val="274517C9"/>
    <w:rsid w:val="274E68CF"/>
    <w:rsid w:val="277A3B68"/>
    <w:rsid w:val="27873B8F"/>
    <w:rsid w:val="281D135F"/>
    <w:rsid w:val="28377363"/>
    <w:rsid w:val="28461C9C"/>
    <w:rsid w:val="28844573"/>
    <w:rsid w:val="28BF4190"/>
    <w:rsid w:val="28C4406E"/>
    <w:rsid w:val="28C878C3"/>
    <w:rsid w:val="28F11C08"/>
    <w:rsid w:val="29037B8D"/>
    <w:rsid w:val="291D4652"/>
    <w:rsid w:val="2A5341FD"/>
    <w:rsid w:val="2A706BB3"/>
    <w:rsid w:val="2A7C719C"/>
    <w:rsid w:val="2A7F1496"/>
    <w:rsid w:val="2A974647"/>
    <w:rsid w:val="2AB90504"/>
    <w:rsid w:val="2B1705D2"/>
    <w:rsid w:val="2B5446D0"/>
    <w:rsid w:val="2B563FA5"/>
    <w:rsid w:val="2B591CE7"/>
    <w:rsid w:val="2B7679E1"/>
    <w:rsid w:val="2B7E52A9"/>
    <w:rsid w:val="2B82123D"/>
    <w:rsid w:val="2B926A7E"/>
    <w:rsid w:val="2B942D1F"/>
    <w:rsid w:val="2C1125C1"/>
    <w:rsid w:val="2C2B5641"/>
    <w:rsid w:val="2C8D7E9A"/>
    <w:rsid w:val="2C8F5D12"/>
    <w:rsid w:val="2CAE79CE"/>
    <w:rsid w:val="2CB6067E"/>
    <w:rsid w:val="2CC66F08"/>
    <w:rsid w:val="2CCA094F"/>
    <w:rsid w:val="2D144117"/>
    <w:rsid w:val="2D610085"/>
    <w:rsid w:val="2DB41456"/>
    <w:rsid w:val="2DE27D71"/>
    <w:rsid w:val="2E1B3283"/>
    <w:rsid w:val="2E2B5E45"/>
    <w:rsid w:val="2E4647A4"/>
    <w:rsid w:val="2E515D05"/>
    <w:rsid w:val="2E9B3506"/>
    <w:rsid w:val="2EA43279"/>
    <w:rsid w:val="2EF7784D"/>
    <w:rsid w:val="2F0E4B96"/>
    <w:rsid w:val="2F134230"/>
    <w:rsid w:val="2F2B399A"/>
    <w:rsid w:val="2F2F5238"/>
    <w:rsid w:val="2F9C21A2"/>
    <w:rsid w:val="2FC02FA6"/>
    <w:rsid w:val="2FD22068"/>
    <w:rsid w:val="2FDC6A42"/>
    <w:rsid w:val="2FE57F9B"/>
    <w:rsid w:val="2FF4311D"/>
    <w:rsid w:val="2FF745A3"/>
    <w:rsid w:val="30366763"/>
    <w:rsid w:val="303E14AB"/>
    <w:rsid w:val="304D7ABC"/>
    <w:rsid w:val="307A24E3"/>
    <w:rsid w:val="30901D07"/>
    <w:rsid w:val="30A05CC2"/>
    <w:rsid w:val="30B11567"/>
    <w:rsid w:val="30F878AC"/>
    <w:rsid w:val="315F16D9"/>
    <w:rsid w:val="316450AF"/>
    <w:rsid w:val="317433D6"/>
    <w:rsid w:val="318A0E4C"/>
    <w:rsid w:val="31BE0AF5"/>
    <w:rsid w:val="31C37EBA"/>
    <w:rsid w:val="31D2634F"/>
    <w:rsid w:val="31D40319"/>
    <w:rsid w:val="31E542D4"/>
    <w:rsid w:val="31E56082"/>
    <w:rsid w:val="31EA5447"/>
    <w:rsid w:val="31FE7144"/>
    <w:rsid w:val="32052280"/>
    <w:rsid w:val="32081D71"/>
    <w:rsid w:val="325B4596"/>
    <w:rsid w:val="32601BAD"/>
    <w:rsid w:val="3296737C"/>
    <w:rsid w:val="335115F0"/>
    <w:rsid w:val="339A4C4A"/>
    <w:rsid w:val="33A04957"/>
    <w:rsid w:val="33A53D1B"/>
    <w:rsid w:val="33AD7074"/>
    <w:rsid w:val="33D939C5"/>
    <w:rsid w:val="340065E3"/>
    <w:rsid w:val="34B8182C"/>
    <w:rsid w:val="34F95019"/>
    <w:rsid w:val="3514161F"/>
    <w:rsid w:val="352769B2"/>
    <w:rsid w:val="3546366F"/>
    <w:rsid w:val="35492DCC"/>
    <w:rsid w:val="357070B5"/>
    <w:rsid w:val="35773495"/>
    <w:rsid w:val="35867B7C"/>
    <w:rsid w:val="35C42453"/>
    <w:rsid w:val="367B5207"/>
    <w:rsid w:val="36C95F72"/>
    <w:rsid w:val="36D130B5"/>
    <w:rsid w:val="372907BF"/>
    <w:rsid w:val="376A3C4C"/>
    <w:rsid w:val="37753CAD"/>
    <w:rsid w:val="377D6D5D"/>
    <w:rsid w:val="37A91900"/>
    <w:rsid w:val="37CD55EE"/>
    <w:rsid w:val="37D270A9"/>
    <w:rsid w:val="381C20D2"/>
    <w:rsid w:val="38433C8A"/>
    <w:rsid w:val="38761300"/>
    <w:rsid w:val="38D330D8"/>
    <w:rsid w:val="38E452E6"/>
    <w:rsid w:val="38F90665"/>
    <w:rsid w:val="38FC7F68"/>
    <w:rsid w:val="39050DB8"/>
    <w:rsid w:val="39194863"/>
    <w:rsid w:val="391E32EE"/>
    <w:rsid w:val="39C175C6"/>
    <w:rsid w:val="3A0E0140"/>
    <w:rsid w:val="3A1219DE"/>
    <w:rsid w:val="3A754CC9"/>
    <w:rsid w:val="3A771FCA"/>
    <w:rsid w:val="3B082DE1"/>
    <w:rsid w:val="3B141786"/>
    <w:rsid w:val="3B2E2848"/>
    <w:rsid w:val="3B3A73DE"/>
    <w:rsid w:val="3B4A51A8"/>
    <w:rsid w:val="3B563B4D"/>
    <w:rsid w:val="3B762441"/>
    <w:rsid w:val="3B820DE6"/>
    <w:rsid w:val="3B90705F"/>
    <w:rsid w:val="3BDC6748"/>
    <w:rsid w:val="3BDD7DCA"/>
    <w:rsid w:val="3BEA370A"/>
    <w:rsid w:val="3C6B3628"/>
    <w:rsid w:val="3C6E4EC6"/>
    <w:rsid w:val="3D532A3A"/>
    <w:rsid w:val="3D7E738B"/>
    <w:rsid w:val="3D995F73"/>
    <w:rsid w:val="3DA46DF1"/>
    <w:rsid w:val="3DCE3E6E"/>
    <w:rsid w:val="3DFE0BF8"/>
    <w:rsid w:val="3E030FFE"/>
    <w:rsid w:val="3E3A69A0"/>
    <w:rsid w:val="3EAD617A"/>
    <w:rsid w:val="3ECD3124"/>
    <w:rsid w:val="3ED43706"/>
    <w:rsid w:val="3EE61364"/>
    <w:rsid w:val="3EF115E1"/>
    <w:rsid w:val="3EF142B8"/>
    <w:rsid w:val="3F3E3276"/>
    <w:rsid w:val="3F5017C4"/>
    <w:rsid w:val="3F520ACF"/>
    <w:rsid w:val="3F830C89"/>
    <w:rsid w:val="3F852C53"/>
    <w:rsid w:val="3F966C0E"/>
    <w:rsid w:val="3F9A003D"/>
    <w:rsid w:val="3FE536F1"/>
    <w:rsid w:val="3FEA0343"/>
    <w:rsid w:val="401B00E9"/>
    <w:rsid w:val="40363F4D"/>
    <w:rsid w:val="4044666A"/>
    <w:rsid w:val="40550877"/>
    <w:rsid w:val="409A272E"/>
    <w:rsid w:val="410D1152"/>
    <w:rsid w:val="413B181B"/>
    <w:rsid w:val="418307B3"/>
    <w:rsid w:val="41962EF5"/>
    <w:rsid w:val="41A25D3E"/>
    <w:rsid w:val="41CC2DBB"/>
    <w:rsid w:val="41EA4FEF"/>
    <w:rsid w:val="4231003A"/>
    <w:rsid w:val="42A25018"/>
    <w:rsid w:val="42CD6DEA"/>
    <w:rsid w:val="42E80618"/>
    <w:rsid w:val="42E867DB"/>
    <w:rsid w:val="4303280C"/>
    <w:rsid w:val="43095949"/>
    <w:rsid w:val="434A21E9"/>
    <w:rsid w:val="435B61A4"/>
    <w:rsid w:val="43925E19"/>
    <w:rsid w:val="439E42E3"/>
    <w:rsid w:val="44511355"/>
    <w:rsid w:val="44A818BD"/>
    <w:rsid w:val="4548374C"/>
    <w:rsid w:val="454A2974"/>
    <w:rsid w:val="456D21BF"/>
    <w:rsid w:val="459C2AA4"/>
    <w:rsid w:val="45D73ADC"/>
    <w:rsid w:val="45E306D3"/>
    <w:rsid w:val="461F5BAF"/>
    <w:rsid w:val="46222FA9"/>
    <w:rsid w:val="466A4DD4"/>
    <w:rsid w:val="46A2058E"/>
    <w:rsid w:val="46C67DD9"/>
    <w:rsid w:val="46D52711"/>
    <w:rsid w:val="47040901"/>
    <w:rsid w:val="470B7EE1"/>
    <w:rsid w:val="47215957"/>
    <w:rsid w:val="474927B8"/>
    <w:rsid w:val="475F4422"/>
    <w:rsid w:val="47743CD8"/>
    <w:rsid w:val="4786135E"/>
    <w:rsid w:val="47C06F1E"/>
    <w:rsid w:val="47E726FC"/>
    <w:rsid w:val="4874505C"/>
    <w:rsid w:val="488F069E"/>
    <w:rsid w:val="48A56114"/>
    <w:rsid w:val="49136AFE"/>
    <w:rsid w:val="49201968"/>
    <w:rsid w:val="492D2391"/>
    <w:rsid w:val="49DB003F"/>
    <w:rsid w:val="49F04DE4"/>
    <w:rsid w:val="49F977A4"/>
    <w:rsid w:val="4A0B1FA6"/>
    <w:rsid w:val="4A2A2D74"/>
    <w:rsid w:val="4A3414FD"/>
    <w:rsid w:val="4A9B332A"/>
    <w:rsid w:val="4ADB406F"/>
    <w:rsid w:val="4B3D61BE"/>
    <w:rsid w:val="4B6814D6"/>
    <w:rsid w:val="4BA97CC9"/>
    <w:rsid w:val="4BB905DA"/>
    <w:rsid w:val="4BC468B1"/>
    <w:rsid w:val="4C995F8F"/>
    <w:rsid w:val="4C9E5354"/>
    <w:rsid w:val="4D896004"/>
    <w:rsid w:val="4DB42272"/>
    <w:rsid w:val="4DC332C4"/>
    <w:rsid w:val="4DE4323A"/>
    <w:rsid w:val="4E0B709E"/>
    <w:rsid w:val="4E2A5D47"/>
    <w:rsid w:val="4E5A52AA"/>
    <w:rsid w:val="4E683E6B"/>
    <w:rsid w:val="4E7E368F"/>
    <w:rsid w:val="4EDF237F"/>
    <w:rsid w:val="4EE03A01"/>
    <w:rsid w:val="4F3B1723"/>
    <w:rsid w:val="4F702FD7"/>
    <w:rsid w:val="4F7A3E56"/>
    <w:rsid w:val="4F8627FB"/>
    <w:rsid w:val="4FA462B3"/>
    <w:rsid w:val="4FE6773D"/>
    <w:rsid w:val="50125E3D"/>
    <w:rsid w:val="50192406"/>
    <w:rsid w:val="5039786D"/>
    <w:rsid w:val="506348EA"/>
    <w:rsid w:val="507028FD"/>
    <w:rsid w:val="50744D49"/>
    <w:rsid w:val="5076327B"/>
    <w:rsid w:val="50772144"/>
    <w:rsid w:val="507C62DD"/>
    <w:rsid w:val="508D1967"/>
    <w:rsid w:val="50B20CEB"/>
    <w:rsid w:val="50E517A3"/>
    <w:rsid w:val="50E64171"/>
    <w:rsid w:val="510C31D4"/>
    <w:rsid w:val="51431169"/>
    <w:rsid w:val="5144296E"/>
    <w:rsid w:val="5167040A"/>
    <w:rsid w:val="521E54EC"/>
    <w:rsid w:val="522E2CD6"/>
    <w:rsid w:val="526606C2"/>
    <w:rsid w:val="527E3C5D"/>
    <w:rsid w:val="52974D1F"/>
    <w:rsid w:val="52F42171"/>
    <w:rsid w:val="5429409D"/>
    <w:rsid w:val="545D5AF4"/>
    <w:rsid w:val="547370C6"/>
    <w:rsid w:val="548E50B1"/>
    <w:rsid w:val="54B43966"/>
    <w:rsid w:val="54CF07A0"/>
    <w:rsid w:val="55164621"/>
    <w:rsid w:val="552F2E36"/>
    <w:rsid w:val="558D41B7"/>
    <w:rsid w:val="559B68D4"/>
    <w:rsid w:val="55B47996"/>
    <w:rsid w:val="55DA1F51"/>
    <w:rsid w:val="55F81F79"/>
    <w:rsid w:val="55FE57CA"/>
    <w:rsid w:val="56231F37"/>
    <w:rsid w:val="562B40FC"/>
    <w:rsid w:val="563C6D66"/>
    <w:rsid w:val="565C4B5A"/>
    <w:rsid w:val="56C43C09"/>
    <w:rsid w:val="57034731"/>
    <w:rsid w:val="57362D58"/>
    <w:rsid w:val="57831D16"/>
    <w:rsid w:val="578E37A1"/>
    <w:rsid w:val="579D2DD8"/>
    <w:rsid w:val="57DB3900"/>
    <w:rsid w:val="57E00F16"/>
    <w:rsid w:val="57EB6DC4"/>
    <w:rsid w:val="5861548F"/>
    <w:rsid w:val="58C76ABA"/>
    <w:rsid w:val="58E10AA2"/>
    <w:rsid w:val="58F20F01"/>
    <w:rsid w:val="592B7F6F"/>
    <w:rsid w:val="596A0A97"/>
    <w:rsid w:val="59875AED"/>
    <w:rsid w:val="59941FB8"/>
    <w:rsid w:val="59CA59DA"/>
    <w:rsid w:val="59E7033A"/>
    <w:rsid w:val="5A026F22"/>
    <w:rsid w:val="5A292701"/>
    <w:rsid w:val="5A696FA1"/>
    <w:rsid w:val="5A6C4CE3"/>
    <w:rsid w:val="5AC02939"/>
    <w:rsid w:val="5B152C85"/>
    <w:rsid w:val="5B2335F4"/>
    <w:rsid w:val="5B523ED9"/>
    <w:rsid w:val="5B955B74"/>
    <w:rsid w:val="5C3F26AF"/>
    <w:rsid w:val="5C3F445D"/>
    <w:rsid w:val="5C8400C2"/>
    <w:rsid w:val="5C910A31"/>
    <w:rsid w:val="5D415FB3"/>
    <w:rsid w:val="5D6C7344"/>
    <w:rsid w:val="5D740137"/>
    <w:rsid w:val="5DF474C9"/>
    <w:rsid w:val="5E007C1C"/>
    <w:rsid w:val="5E211941"/>
    <w:rsid w:val="5E5E5BE2"/>
    <w:rsid w:val="5E84084D"/>
    <w:rsid w:val="5E9640DD"/>
    <w:rsid w:val="5EA551F5"/>
    <w:rsid w:val="5EB6652D"/>
    <w:rsid w:val="5F41673E"/>
    <w:rsid w:val="5F4D50E3"/>
    <w:rsid w:val="5F571ABE"/>
    <w:rsid w:val="5F773F0E"/>
    <w:rsid w:val="5F92011E"/>
    <w:rsid w:val="5FAD5B82"/>
    <w:rsid w:val="5FB70BF2"/>
    <w:rsid w:val="5FBA3DFB"/>
    <w:rsid w:val="5FF732A1"/>
    <w:rsid w:val="602A5424"/>
    <w:rsid w:val="60651FB9"/>
    <w:rsid w:val="60675D31"/>
    <w:rsid w:val="60DA0BF8"/>
    <w:rsid w:val="610F0A45"/>
    <w:rsid w:val="618A51FD"/>
    <w:rsid w:val="61AF2FE3"/>
    <w:rsid w:val="62143C96"/>
    <w:rsid w:val="622C5484"/>
    <w:rsid w:val="62600C89"/>
    <w:rsid w:val="62BD60DC"/>
    <w:rsid w:val="62C27B96"/>
    <w:rsid w:val="63181564"/>
    <w:rsid w:val="632C14B3"/>
    <w:rsid w:val="63416D0D"/>
    <w:rsid w:val="6346230D"/>
    <w:rsid w:val="63521D29"/>
    <w:rsid w:val="635B32B1"/>
    <w:rsid w:val="63870498"/>
    <w:rsid w:val="639808F7"/>
    <w:rsid w:val="63AD5DD7"/>
    <w:rsid w:val="63D3192F"/>
    <w:rsid w:val="64354398"/>
    <w:rsid w:val="648C045C"/>
    <w:rsid w:val="64AD03D2"/>
    <w:rsid w:val="64C16B3D"/>
    <w:rsid w:val="6502071E"/>
    <w:rsid w:val="650E0E71"/>
    <w:rsid w:val="651641C9"/>
    <w:rsid w:val="65491EA9"/>
    <w:rsid w:val="654C7BEB"/>
    <w:rsid w:val="65A417D5"/>
    <w:rsid w:val="65B57F02"/>
    <w:rsid w:val="65B75B1D"/>
    <w:rsid w:val="65BA2DA7"/>
    <w:rsid w:val="65D06126"/>
    <w:rsid w:val="65D26342"/>
    <w:rsid w:val="65ED7F30"/>
    <w:rsid w:val="6611613F"/>
    <w:rsid w:val="666A3541"/>
    <w:rsid w:val="6703077D"/>
    <w:rsid w:val="670B01C0"/>
    <w:rsid w:val="67362901"/>
    <w:rsid w:val="674566A0"/>
    <w:rsid w:val="675D60DF"/>
    <w:rsid w:val="676E209B"/>
    <w:rsid w:val="67B51A77"/>
    <w:rsid w:val="68045877"/>
    <w:rsid w:val="680B1697"/>
    <w:rsid w:val="682235A3"/>
    <w:rsid w:val="682D5AB2"/>
    <w:rsid w:val="68456707"/>
    <w:rsid w:val="685A261F"/>
    <w:rsid w:val="68790CF7"/>
    <w:rsid w:val="68C53B15"/>
    <w:rsid w:val="69074555"/>
    <w:rsid w:val="69201173"/>
    <w:rsid w:val="692F7608"/>
    <w:rsid w:val="694A6CC5"/>
    <w:rsid w:val="695232F6"/>
    <w:rsid w:val="69780FAF"/>
    <w:rsid w:val="69CB5582"/>
    <w:rsid w:val="6A3F1ACC"/>
    <w:rsid w:val="6A522671"/>
    <w:rsid w:val="6A696B49"/>
    <w:rsid w:val="6A7C4ACE"/>
    <w:rsid w:val="6A99742E"/>
    <w:rsid w:val="6AC50223"/>
    <w:rsid w:val="6ACB22C2"/>
    <w:rsid w:val="6BAD2A66"/>
    <w:rsid w:val="6BCA186A"/>
    <w:rsid w:val="6BCC55E2"/>
    <w:rsid w:val="6C1D5E3D"/>
    <w:rsid w:val="6C264CF2"/>
    <w:rsid w:val="6C3311BD"/>
    <w:rsid w:val="6C3C39CA"/>
    <w:rsid w:val="6C4B4758"/>
    <w:rsid w:val="6C66612A"/>
    <w:rsid w:val="6C6A0E2B"/>
    <w:rsid w:val="6C711CE5"/>
    <w:rsid w:val="6C801864"/>
    <w:rsid w:val="6CA43E69"/>
    <w:rsid w:val="6CA921F4"/>
    <w:rsid w:val="6CB95B66"/>
    <w:rsid w:val="6CF05300"/>
    <w:rsid w:val="6D946D06"/>
    <w:rsid w:val="6DA560EA"/>
    <w:rsid w:val="6DB12CE1"/>
    <w:rsid w:val="6DB93944"/>
    <w:rsid w:val="6DF27FD2"/>
    <w:rsid w:val="6DF861CE"/>
    <w:rsid w:val="6E1F7C4B"/>
    <w:rsid w:val="6E301102"/>
    <w:rsid w:val="6E4678CD"/>
    <w:rsid w:val="6E47284E"/>
    <w:rsid w:val="6E511DCE"/>
    <w:rsid w:val="6E615BFD"/>
    <w:rsid w:val="6E71421E"/>
    <w:rsid w:val="6EB2181E"/>
    <w:rsid w:val="6EB505AF"/>
    <w:rsid w:val="6ED21161"/>
    <w:rsid w:val="6ED924EF"/>
    <w:rsid w:val="6F1654F2"/>
    <w:rsid w:val="6F1E7F02"/>
    <w:rsid w:val="6F3040D9"/>
    <w:rsid w:val="6F3C2A7E"/>
    <w:rsid w:val="6F4F026E"/>
    <w:rsid w:val="6F765F90"/>
    <w:rsid w:val="6F8166E3"/>
    <w:rsid w:val="6F9401C4"/>
    <w:rsid w:val="6FD902CD"/>
    <w:rsid w:val="6FF005A6"/>
    <w:rsid w:val="702754DC"/>
    <w:rsid w:val="70C60851"/>
    <w:rsid w:val="70C64CF5"/>
    <w:rsid w:val="70E76A1A"/>
    <w:rsid w:val="70F71AC9"/>
    <w:rsid w:val="7133397F"/>
    <w:rsid w:val="714F6A99"/>
    <w:rsid w:val="715E6CDC"/>
    <w:rsid w:val="719B1CDE"/>
    <w:rsid w:val="71DB032D"/>
    <w:rsid w:val="71DD7077"/>
    <w:rsid w:val="71F0075E"/>
    <w:rsid w:val="723637B5"/>
    <w:rsid w:val="724265FE"/>
    <w:rsid w:val="72AB41A3"/>
    <w:rsid w:val="72B8066E"/>
    <w:rsid w:val="730D6C0C"/>
    <w:rsid w:val="73301622"/>
    <w:rsid w:val="7343262D"/>
    <w:rsid w:val="73685BF0"/>
    <w:rsid w:val="738B5D82"/>
    <w:rsid w:val="743957DE"/>
    <w:rsid w:val="744523C5"/>
    <w:rsid w:val="745037BC"/>
    <w:rsid w:val="7460720F"/>
    <w:rsid w:val="7463506E"/>
    <w:rsid w:val="74A40EAA"/>
    <w:rsid w:val="75037F41"/>
    <w:rsid w:val="75C13CDD"/>
    <w:rsid w:val="767C2482"/>
    <w:rsid w:val="76C53359"/>
    <w:rsid w:val="77057A22"/>
    <w:rsid w:val="772A140E"/>
    <w:rsid w:val="77F71C38"/>
    <w:rsid w:val="77FA34D6"/>
    <w:rsid w:val="78016613"/>
    <w:rsid w:val="78270946"/>
    <w:rsid w:val="78664B90"/>
    <w:rsid w:val="786B1CDE"/>
    <w:rsid w:val="78853E63"/>
    <w:rsid w:val="78B27C05"/>
    <w:rsid w:val="78D51699"/>
    <w:rsid w:val="78FD502C"/>
    <w:rsid w:val="790A5798"/>
    <w:rsid w:val="79367029"/>
    <w:rsid w:val="7967694A"/>
    <w:rsid w:val="79A96F62"/>
    <w:rsid w:val="79C42DA7"/>
    <w:rsid w:val="79DC699D"/>
    <w:rsid w:val="7A031D57"/>
    <w:rsid w:val="7A3613CA"/>
    <w:rsid w:val="7A462A03"/>
    <w:rsid w:val="7A680BCB"/>
    <w:rsid w:val="7AC06311"/>
    <w:rsid w:val="7AF4420D"/>
    <w:rsid w:val="7AFE508C"/>
    <w:rsid w:val="7B09415C"/>
    <w:rsid w:val="7B3D3D71"/>
    <w:rsid w:val="7B5573A2"/>
    <w:rsid w:val="7B9F23CB"/>
    <w:rsid w:val="7BC2255D"/>
    <w:rsid w:val="7C9712F4"/>
    <w:rsid w:val="7CD73DE6"/>
    <w:rsid w:val="7D124E1E"/>
    <w:rsid w:val="7D2A54B9"/>
    <w:rsid w:val="7D817E5A"/>
    <w:rsid w:val="7D871368"/>
    <w:rsid w:val="7D887789"/>
    <w:rsid w:val="7D8C697F"/>
    <w:rsid w:val="7D9341B1"/>
    <w:rsid w:val="7D9B4E14"/>
    <w:rsid w:val="7DBA7990"/>
    <w:rsid w:val="7DE70059"/>
    <w:rsid w:val="7E0230E5"/>
    <w:rsid w:val="7E6E2528"/>
    <w:rsid w:val="7E745D91"/>
    <w:rsid w:val="7E747B3F"/>
    <w:rsid w:val="7EA1274A"/>
    <w:rsid w:val="7EA5419C"/>
    <w:rsid w:val="7EB048EF"/>
    <w:rsid w:val="7ECB1729"/>
    <w:rsid w:val="7F390D88"/>
    <w:rsid w:val="7F594F87"/>
    <w:rsid w:val="7F930498"/>
    <w:rsid w:val="7FA61257"/>
    <w:rsid w:val="7FBC5A54"/>
    <w:rsid w:val="7FFD3B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header" w:qFormat="1"/>
    <w:lsdException w:name="footer" w:qFormat="1"/>
    <w:lsdException w:name="caption" w:semiHidden="1" w:unhideWhenUsed="1" w:qFormat="1"/>
    <w:lsdException w:name="page number" w:qFormat="1"/>
    <w:lsdException w:name="toa heading" w:qFormat="1"/>
    <w:lsdException w:name="Title" w:qFormat="1"/>
    <w:lsdException w:name="Default Paragraph Font" w:semiHidden="1" w:qFormat="1"/>
    <w:lsdException w:name="Body Text Indent"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CE1C1D"/>
    <w:pPr>
      <w:widowControl w:val="0"/>
      <w:jc w:val="both"/>
    </w:pPr>
    <w:rPr>
      <w:kern w:val="2"/>
      <w:sz w:val="21"/>
      <w:szCs w:val="24"/>
    </w:rPr>
  </w:style>
  <w:style w:type="paragraph" w:styleId="2">
    <w:name w:val="heading 2"/>
    <w:basedOn w:val="a"/>
    <w:next w:val="a"/>
    <w:autoRedefine/>
    <w:qFormat/>
    <w:rsid w:val="00CE1C1D"/>
    <w:pPr>
      <w:keepNext/>
      <w:keepLines/>
      <w:spacing w:before="260" w:after="260" w:line="416" w:lineRule="auto"/>
      <w:outlineLvl w:val="1"/>
    </w:pPr>
    <w:rPr>
      <w:rFonts w:ascii="Cambria" w:hAnsi="Cambria"/>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oa heading"/>
    <w:basedOn w:val="a"/>
    <w:next w:val="a"/>
    <w:autoRedefine/>
    <w:qFormat/>
    <w:rsid w:val="00CE1C1D"/>
    <w:pPr>
      <w:spacing w:before="120" w:after="200" w:line="276" w:lineRule="auto"/>
    </w:pPr>
    <w:rPr>
      <w:rFonts w:ascii="Arial" w:hAnsi="Arial"/>
      <w:sz w:val="24"/>
    </w:rPr>
  </w:style>
  <w:style w:type="paragraph" w:styleId="a4">
    <w:name w:val="Body Text Indent"/>
    <w:basedOn w:val="a"/>
    <w:autoRedefine/>
    <w:qFormat/>
    <w:rsid w:val="00CE1C1D"/>
    <w:pPr>
      <w:ind w:firstLineChars="200" w:firstLine="640"/>
    </w:pPr>
    <w:rPr>
      <w:sz w:val="32"/>
    </w:rPr>
  </w:style>
  <w:style w:type="paragraph" w:styleId="a5">
    <w:name w:val="footer"/>
    <w:basedOn w:val="a"/>
    <w:autoRedefine/>
    <w:qFormat/>
    <w:rsid w:val="00CE1C1D"/>
    <w:pPr>
      <w:tabs>
        <w:tab w:val="center" w:pos="4153"/>
        <w:tab w:val="right" w:pos="8306"/>
      </w:tabs>
      <w:snapToGrid w:val="0"/>
      <w:jc w:val="left"/>
    </w:pPr>
    <w:rPr>
      <w:sz w:val="18"/>
      <w:szCs w:val="18"/>
    </w:rPr>
  </w:style>
  <w:style w:type="paragraph" w:styleId="a6">
    <w:name w:val="header"/>
    <w:basedOn w:val="a"/>
    <w:autoRedefine/>
    <w:qFormat/>
    <w:rsid w:val="00CE1C1D"/>
    <w:pPr>
      <w:pBdr>
        <w:bottom w:val="single" w:sz="6" w:space="1" w:color="auto"/>
      </w:pBdr>
      <w:tabs>
        <w:tab w:val="center" w:pos="4153"/>
        <w:tab w:val="right" w:pos="8306"/>
      </w:tabs>
      <w:snapToGrid w:val="0"/>
      <w:jc w:val="center"/>
    </w:pPr>
    <w:rPr>
      <w:sz w:val="18"/>
      <w:szCs w:val="18"/>
    </w:rPr>
  </w:style>
  <w:style w:type="paragraph" w:styleId="1">
    <w:name w:val="toc 1"/>
    <w:basedOn w:val="a"/>
    <w:next w:val="a"/>
    <w:qFormat/>
    <w:rsid w:val="00CE1C1D"/>
  </w:style>
  <w:style w:type="paragraph" w:styleId="a7">
    <w:name w:val="Normal (Web)"/>
    <w:basedOn w:val="a"/>
    <w:uiPriority w:val="99"/>
    <w:unhideWhenUsed/>
    <w:qFormat/>
    <w:rsid w:val="00CE1C1D"/>
    <w:pPr>
      <w:widowControl/>
      <w:spacing w:before="100" w:beforeAutospacing="1" w:after="100" w:afterAutospacing="1"/>
      <w:jc w:val="left"/>
    </w:pPr>
    <w:rPr>
      <w:rFonts w:ascii="宋体" w:hAnsi="宋体" w:cs="宋体"/>
      <w:kern w:val="0"/>
      <w:sz w:val="24"/>
    </w:rPr>
  </w:style>
  <w:style w:type="paragraph" w:styleId="20">
    <w:name w:val="Body Text First Indent 2"/>
    <w:basedOn w:val="a4"/>
    <w:autoRedefine/>
    <w:uiPriority w:val="99"/>
    <w:qFormat/>
    <w:rsid w:val="00CE1C1D"/>
    <w:pPr>
      <w:ind w:firstLine="420"/>
    </w:pPr>
  </w:style>
  <w:style w:type="table" w:styleId="a8">
    <w:name w:val="Table Grid"/>
    <w:basedOn w:val="a2"/>
    <w:autoRedefine/>
    <w:qFormat/>
    <w:rsid w:val="00CE1C1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1"/>
    <w:autoRedefine/>
    <w:qFormat/>
    <w:rsid w:val="00CE1C1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5695</Words>
  <Characters>1204</Characters>
  <Application>Microsoft Office Word</Application>
  <DocSecurity>0</DocSecurity>
  <Lines>10</Lines>
  <Paragraphs>13</Paragraphs>
  <ScaleCrop>false</ScaleCrop>
  <Company>Microsoft</Company>
  <LinksUpToDate>false</LinksUpToDate>
  <CharactersWithSpaces>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彭礼孝</dc:creator>
  <cp:lastModifiedBy>PC</cp:lastModifiedBy>
  <cp:revision>9</cp:revision>
  <cp:lastPrinted>2025-03-28T02:49:00Z</cp:lastPrinted>
  <dcterms:created xsi:type="dcterms:W3CDTF">2021-04-19T07:48:00Z</dcterms:created>
  <dcterms:modified xsi:type="dcterms:W3CDTF">2025-06-05T02:56:00Z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C543C515A7C149709B76B8B3719D4817_13</vt:lpwstr>
  </property>
  <property fmtid="{D5CDD505-2E9C-101B-9397-08002B2CF9AE}" pid="4" name="KSOTemplateDocerSaveRecord">
    <vt:lpwstr>eyJoZGlkIjoiNmJjNTlmZWE2ZjYyYTUzM2NmMjM5NzhhMzJiNTgyOTUiLCJ1c2VySWQiOiIxMTY4NjQzOTQ1In0=</vt:lpwstr>
  </property>
</Properties>
</file>