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55A5D5">
      <w:pPr>
        <w:pStyle w:val="4"/>
        <w:adjustRightInd w:val="0"/>
        <w:snapToGrid w:val="0"/>
        <w:spacing w:before="0" w:after="0" w:line="600" w:lineRule="exact"/>
        <w:jc w:val="center"/>
        <w:rPr>
          <w:rFonts w:ascii="黑体" w:hAnsi="黑体" w:eastAsia="黑体" w:cs="黑体"/>
          <w:b w:val="0"/>
          <w:sz w:val="44"/>
          <w:szCs w:val="44"/>
        </w:rPr>
      </w:pPr>
      <w:r>
        <w:rPr>
          <w:rFonts w:hint="eastAsia" w:ascii="黑体" w:hAnsi="黑体" w:eastAsia="黑体" w:cs="黑体"/>
          <w:b w:val="0"/>
          <w:sz w:val="44"/>
          <w:szCs w:val="44"/>
        </w:rPr>
        <w:t>2024年污水处理费专项资金</w:t>
      </w:r>
    </w:p>
    <w:p w14:paraId="4477E401">
      <w:pPr>
        <w:pStyle w:val="4"/>
        <w:adjustRightInd w:val="0"/>
        <w:snapToGrid w:val="0"/>
        <w:spacing w:before="0" w:after="0" w:line="600" w:lineRule="exact"/>
        <w:jc w:val="center"/>
        <w:rPr>
          <w:rFonts w:ascii="黑体" w:hAnsi="黑体" w:eastAsia="黑体" w:cs="黑体"/>
          <w:b w:val="0"/>
          <w:sz w:val="44"/>
          <w:szCs w:val="44"/>
        </w:rPr>
      </w:pPr>
      <w:r>
        <w:rPr>
          <w:rFonts w:hint="eastAsia" w:ascii="黑体" w:hAnsi="黑体" w:eastAsia="黑体" w:cs="黑体"/>
          <w:b w:val="0"/>
          <w:sz w:val="44"/>
          <w:szCs w:val="44"/>
        </w:rPr>
        <w:t>绩效自评报告</w:t>
      </w:r>
    </w:p>
    <w:p w14:paraId="31CEF1C8"/>
    <w:p w14:paraId="7EB18391"/>
    <w:p w14:paraId="504D3AD4">
      <w:pPr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根据《隆回县财政局关于开展</w:t>
      </w:r>
      <w:r>
        <w:rPr>
          <w:rFonts w:ascii="仿宋_GB2312" w:hAnsi="仿宋" w:eastAsia="仿宋_GB2312" w:cs="仿宋"/>
          <w:sz w:val="32"/>
          <w:szCs w:val="32"/>
        </w:rPr>
        <w:t>20</w:t>
      </w:r>
      <w:r>
        <w:rPr>
          <w:rFonts w:hint="eastAsia" w:ascii="仿宋_GB2312" w:hAnsi="仿宋" w:eastAsia="仿宋_GB2312" w:cs="仿宋"/>
          <w:sz w:val="32"/>
          <w:szCs w:val="32"/>
        </w:rPr>
        <w:t>24年度部门整体支出绩效自评和专项资金支出部门评价工作的通知》（隆财绩</w:t>
      </w:r>
      <w:r>
        <w:rPr>
          <w:rFonts w:ascii="仿宋_GB2312" w:hAnsi="仿宋" w:eastAsia="仿宋_GB2312" w:cs="仿宋"/>
          <w:sz w:val="32"/>
          <w:szCs w:val="32"/>
        </w:rPr>
        <w:t>[20</w:t>
      </w:r>
      <w:r>
        <w:rPr>
          <w:rFonts w:hint="eastAsia" w:ascii="仿宋_GB2312" w:hAnsi="仿宋" w:eastAsia="仿宋_GB2312" w:cs="仿宋"/>
          <w:sz w:val="32"/>
          <w:szCs w:val="32"/>
        </w:rPr>
        <w:t>25</w:t>
      </w:r>
      <w:r>
        <w:rPr>
          <w:rFonts w:ascii="仿宋_GB2312" w:hAnsi="仿宋" w:eastAsia="仿宋_GB2312" w:cs="仿宋"/>
          <w:sz w:val="32"/>
          <w:szCs w:val="32"/>
        </w:rPr>
        <w:t>]</w:t>
      </w:r>
      <w:r>
        <w:rPr>
          <w:rFonts w:hint="eastAsia" w:ascii="仿宋_GB2312" w:hAnsi="仿宋" w:eastAsia="仿宋_GB2312" w:cs="仿宋"/>
          <w:sz w:val="32"/>
          <w:szCs w:val="32"/>
        </w:rPr>
        <w:t>2号）文件精神，我单位认真对</w:t>
      </w:r>
      <w:r>
        <w:rPr>
          <w:rFonts w:ascii="仿宋_GB2312" w:hAnsi="仿宋" w:eastAsia="仿宋_GB2312" w:cs="仿宋"/>
          <w:sz w:val="32"/>
          <w:szCs w:val="32"/>
        </w:rPr>
        <w:t>20</w:t>
      </w:r>
      <w:r>
        <w:rPr>
          <w:rFonts w:hint="eastAsia" w:ascii="仿宋_GB2312" w:hAnsi="仿宋" w:eastAsia="仿宋_GB2312" w:cs="仿宋"/>
          <w:sz w:val="32"/>
          <w:szCs w:val="32"/>
        </w:rPr>
        <w:t>24年度污水处理费专项资金进行了绩效自评，</w:t>
      </w:r>
      <w:r>
        <w:rPr>
          <w:rFonts w:hint="eastAsia" w:ascii="仿宋_GB2312" w:hAnsi="仿宋" w:eastAsia="仿宋_GB2312" w:cs="仿宋"/>
          <w:b/>
          <w:sz w:val="32"/>
          <w:szCs w:val="32"/>
        </w:rPr>
        <w:t>自评结论为良</w:t>
      </w:r>
      <w:r>
        <w:rPr>
          <w:rFonts w:hint="eastAsia" w:ascii="仿宋_GB2312" w:hAnsi="仿宋" w:eastAsia="仿宋_GB2312" w:cs="仿宋"/>
          <w:sz w:val="32"/>
          <w:szCs w:val="32"/>
        </w:rPr>
        <w:t>，现将绩效自评情况汇报如下：</w:t>
      </w:r>
    </w:p>
    <w:p w14:paraId="6570078D">
      <w:pPr>
        <w:adjustRightInd w:val="0"/>
        <w:snapToGrid w:val="0"/>
        <w:spacing w:line="600" w:lineRule="exact"/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一、项目概况</w:t>
      </w:r>
    </w:p>
    <w:p w14:paraId="05CC52F4">
      <w:pPr>
        <w:adjustRightInd w:val="0"/>
        <w:snapToGrid w:val="0"/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（一）项目基本情况简介，包括项目基本性质、用途和主要内容、涉及范围。</w:t>
      </w:r>
    </w:p>
    <w:p w14:paraId="400DA0AD">
      <w:pPr>
        <w:spacing w:line="600" w:lineRule="exact"/>
        <w:ind w:firstLine="640" w:firstLineChars="200"/>
        <w:rPr>
          <w:rFonts w:ascii="仿宋_GB2312" w:hAnsi="楷体_GB2312" w:eastAsia="仿宋" w:cs="楷体_GB2312"/>
          <w:kern w:val="1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为保障我县排水、污水处理设施正常运转，保证污水收集管网、泵站设备正常运行，集中处理市政污水，使其达到一级B标准排放，并减少污泥恶臭等二次污染，保障隆回县实现污染减排目标，加快改善赧水河流水环境质量，维护生态平衡。</w:t>
      </w:r>
    </w:p>
    <w:p w14:paraId="440A0687">
      <w:pPr>
        <w:adjustRightInd w:val="0"/>
        <w:snapToGrid w:val="0"/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（二）、项目预期达到的经济、政治和社会效益等。</w:t>
      </w:r>
    </w:p>
    <w:p w14:paraId="0E79EBEB">
      <w:pPr>
        <w:adjustRightInd w:val="0"/>
        <w:snapToGrid w:val="0"/>
        <w:spacing w:line="600" w:lineRule="exact"/>
        <w:ind w:firstLine="640" w:firstLineChars="200"/>
        <w:rPr>
          <w:rFonts w:ascii="仿宋" w:hAnsi="仿宋" w:eastAsia="仿宋" w:cs="仿宋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为加强生态环境保护，提高人民群众生活质量，促进社会可持续发展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</w:rPr>
        <w:t>。</w:t>
      </w:r>
    </w:p>
    <w:p w14:paraId="413ED91E">
      <w:pPr>
        <w:adjustRightInd w:val="0"/>
        <w:snapToGrid w:val="0"/>
        <w:spacing w:line="600" w:lineRule="exact"/>
        <w:ind w:firstLine="321" w:firstLineChars="1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二、项目资金使用及管理情况</w:t>
      </w:r>
    </w:p>
    <w:p w14:paraId="22B2B174">
      <w:pPr>
        <w:adjustRightInd w:val="0"/>
        <w:snapToGrid w:val="0"/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（一）项目资金到位、投入等情况分析。</w:t>
      </w:r>
    </w:p>
    <w:p w14:paraId="53F7AB9C">
      <w:pPr>
        <w:adjustRightInd w:val="0"/>
        <w:snapToGrid w:val="0"/>
        <w:spacing w:line="600" w:lineRule="exact"/>
        <w:ind w:firstLine="640" w:firstLineChars="200"/>
        <w:rPr>
          <w:rFonts w:ascii="仿宋" w:hAnsi="仿宋" w:eastAsia="仿宋" w:cs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2024年财政预算安排污水处理费956.16662万元。</w:t>
      </w:r>
    </w:p>
    <w:p w14:paraId="45024D07">
      <w:pPr>
        <w:numPr>
          <w:ilvl w:val="0"/>
          <w:numId w:val="1"/>
        </w:numPr>
        <w:adjustRightInd w:val="0"/>
        <w:snapToGrid w:val="0"/>
        <w:spacing w:line="600" w:lineRule="exact"/>
        <w:ind w:left="525" w:leftChars="25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项目资金实际使用情况分析。</w:t>
      </w:r>
    </w:p>
    <w:p w14:paraId="1FC33B85">
      <w:pPr>
        <w:adjustRightInd w:val="0"/>
        <w:snapToGrid w:val="0"/>
        <w:spacing w:line="600" w:lineRule="exact"/>
        <w:ind w:firstLine="640" w:firstLineChars="200"/>
        <w:rPr>
          <w:rFonts w:ascii="仿宋" w:hAnsi="仿宋" w:eastAsia="仿宋" w:cs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具体支出项目是：1、按日处理规模2万吨标准支付</w:t>
      </w:r>
      <w:r>
        <w:rPr>
          <w:rFonts w:hint="eastAsia" w:ascii="FangSong_GB2312" w:hAnsi="KaiTi_GB2312" w:eastAsia="FangSong_GB2312" w:cs="KaiTi_GB2312"/>
          <w:kern w:val="1"/>
          <w:sz w:val="32"/>
          <w:szCs w:val="32"/>
        </w:rPr>
        <w:t>华茂污水处理厂污水处理项目578.28万元（含2023年污水处理费145.36万元）；2、自来水公司代收污水处理征收手续费79.1万元；3、付六都寨、金石桥、滩头、北山、小沙江污水处理厂建设项目工作经费（含弃土场等）25万元；4、污水处理系统工程PPP项目各污水处理厂污泥处置费70.29744万元；5、金石桥、六都寨、滩头、北山、小沙江、虎形山6个建制镇污水处理厂第三方机构运维服务费203.48918万元。</w:t>
      </w:r>
      <w:r>
        <w:rPr>
          <w:rFonts w:hint="eastAsia" w:ascii="仿宋_GB2312" w:hAnsi="楷体_GB2312" w:eastAsia="仿宋_GB2312" w:cs="楷体_GB2312"/>
          <w:kern w:val="1"/>
          <w:sz w:val="32"/>
          <w:szCs w:val="32"/>
        </w:rPr>
        <w:t>污水处理费的安排使用，在一定程度上完善了老城区、各乡镇污水收集处理设施，提升了人民群众居住环境，改善了赧水河生态环境。</w:t>
      </w:r>
    </w:p>
    <w:p w14:paraId="0779D191">
      <w:pPr>
        <w:adjustRightInd w:val="0"/>
        <w:snapToGrid w:val="0"/>
        <w:spacing w:line="600" w:lineRule="exact"/>
        <w:ind w:firstLine="598" w:firstLineChars="187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（三）项目资金管理情况分析，主要包括管理制度、办法的制订及执行情况。</w:t>
      </w:r>
    </w:p>
    <w:p w14:paraId="39BE466C">
      <w:pPr>
        <w:adjustRightInd w:val="0"/>
        <w:snapToGrid w:val="0"/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的开展主要根据县政府的安排，绩效总目标和阶段性目标按照计划完成。我局严格执行财务资金管理制度对专项资金的使用严格把关；整个项目的运行完全按照县委县政府、财政的有关规定及局内部管理制度执行。</w:t>
      </w:r>
    </w:p>
    <w:p w14:paraId="2AE88984">
      <w:pPr>
        <w:adjustRightInd w:val="0"/>
        <w:snapToGrid w:val="0"/>
        <w:spacing w:line="600" w:lineRule="exact"/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三、项目组织实施情况</w:t>
      </w:r>
    </w:p>
    <w:p w14:paraId="20EF376D">
      <w:pPr>
        <w:pStyle w:val="8"/>
        <w:spacing w:before="0" w:beforeAutospacing="0" w:after="0" w:afterAutospacing="0" w:line="384" w:lineRule="atLeast"/>
        <w:ind w:firstLine="640" w:firstLineChars="200"/>
        <w:rPr>
          <w:rFonts w:ascii="仿宋" w:hAnsi="仿宋" w:eastAsia="仿宋" w:cs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根据上年度的收取金额预估本年度的收入数，通过科学、合理的预测，进行目标分解和财务控制，制定出全年的经费支出计划，全面推行目标责任制，制定专项资金管理办法，保证专款专用，保障完成减排目标和绩效目标。一是推行全面预算管理，实行年预算和月预算相结合的管理办法，使资金支出能够做到相对开支稳定，便于全年资金使用的平衡。二是加强目标成本管理，对预算资金进行目标分解和财务控制，建立和实施成本费用审核制度，严格预算支出顺序，确保高质量、高标准完成专项资金的使用。</w:t>
      </w:r>
    </w:p>
    <w:p w14:paraId="48E73670">
      <w:pPr>
        <w:pStyle w:val="8"/>
        <w:spacing w:before="0" w:beforeAutospacing="0" w:after="0" w:afterAutospacing="0" w:line="384" w:lineRule="atLeast"/>
        <w:ind w:firstLine="640" w:firstLineChars="200"/>
        <w:rPr>
          <w:rFonts w:ascii="仿宋" w:hAnsi="仿宋" w:eastAsia="仿宋" w:cs="仿宋"/>
          <w:color w:val="333333"/>
          <w:sz w:val="32"/>
          <w:szCs w:val="32"/>
          <w:shd w:val="clear" w:color="auto" w:fill="FFFFFF"/>
        </w:rPr>
      </w:pPr>
    </w:p>
    <w:p w14:paraId="45AB56BB">
      <w:pPr>
        <w:pStyle w:val="8"/>
        <w:spacing w:before="0" w:beforeAutospacing="0" w:after="0" w:afterAutospacing="0" w:line="384" w:lineRule="atLeast"/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四、项目绩效情况</w:t>
      </w:r>
    </w:p>
    <w:p w14:paraId="24CD0973">
      <w:pPr>
        <w:pStyle w:val="8"/>
        <w:spacing w:before="0" w:beforeAutospacing="0" w:after="0" w:afterAutospacing="0" w:line="384" w:lineRule="atLeas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按日处理规模2万吨标准支付隆回县华茂污水处理有限公司污水处理费578.28万元；主要用于保障污水处理厂企业的正常运行，实现县内污水处理全部得到有效处置，为市民创造舒适整洁的城市环境。</w:t>
      </w:r>
    </w:p>
    <w:p w14:paraId="0A0810C1">
      <w:pPr>
        <w:pStyle w:val="8"/>
        <w:spacing w:before="0" w:beforeAutospacing="0" w:after="0" w:afterAutospacing="0" w:line="384" w:lineRule="atLeast"/>
        <w:ind w:firstLine="640" w:firstLineChars="200"/>
        <w:rPr>
          <w:rFonts w:ascii="仿宋" w:hAnsi="仿宋" w:eastAsia="仿宋" w:cs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加强对提升泵站设备和污水管网的运行管理和维护，保证泵站设备安全、可靠运行；安排专职人员负责提升泵站设备和污水管网的运行管理，实现24小时全天候监管发现问题及时处理；清理下水管网养护、疏通及时到位，确保提升泵站和污水管网的良好运行。</w:t>
      </w:r>
    </w:p>
    <w:p w14:paraId="3329EE24">
      <w:pPr>
        <w:pStyle w:val="8"/>
        <w:spacing w:before="0" w:beforeAutospacing="0" w:after="0" w:afterAutospacing="0" w:line="384" w:lineRule="atLeast"/>
        <w:ind w:firstLine="640" w:firstLineChars="200"/>
        <w:rPr>
          <w:rFonts w:ascii="仿宋" w:hAnsi="仿宋" w:eastAsia="仿宋" w:cs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改造老旧小区雨污管网，对污水顶管及管道及时进行清淤，疏浚，保证污水管网排水设施处于正常的运行状态，降低污水溢流等对周边环境的污染，为市民创造舒适整洁的城市环境。</w:t>
      </w:r>
    </w:p>
    <w:p w14:paraId="062F9261">
      <w:pPr>
        <w:pStyle w:val="8"/>
        <w:spacing w:before="0" w:beforeAutospacing="0" w:after="0" w:afterAutospacing="0" w:line="384" w:lineRule="atLeast"/>
        <w:ind w:firstLine="640" w:firstLineChars="200"/>
        <w:rPr>
          <w:rFonts w:ascii="仿宋" w:hAnsi="仿宋" w:eastAsia="仿宋" w:cs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编制县城排水防涝系统化方案可以提高城市防汛指挥调度的针对性、科学性，保障全市排水畅通；把城市排水防涝工作作为改善民生、保障城市安全的紧迫任务，切实落实好确保安全度汛要求。</w:t>
      </w:r>
    </w:p>
    <w:p w14:paraId="418C1A17">
      <w:pPr>
        <w:pStyle w:val="8"/>
        <w:numPr>
          <w:ilvl w:val="0"/>
          <w:numId w:val="2"/>
        </w:numPr>
        <w:spacing w:before="0" w:beforeAutospacing="0" w:after="0" w:afterAutospacing="0" w:line="384" w:lineRule="atLeas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存在的问题</w:t>
      </w:r>
    </w:p>
    <w:p w14:paraId="77303895">
      <w:pPr>
        <w:pStyle w:val="8"/>
        <w:spacing w:before="0" w:beforeAutospacing="0" w:after="0" w:afterAutospacing="0" w:line="384" w:lineRule="atLeas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我县污水收集管网建设相对滞后，城市易涝点工程量大，污水处理建设资金紧张，降低了污水处理的效益。建议加大资金投入，加快问题解决。</w:t>
      </w:r>
    </w:p>
    <w:p w14:paraId="68FBDA5E">
      <w:pPr>
        <w:pStyle w:val="8"/>
        <w:spacing w:before="0" w:beforeAutospacing="0" w:after="0" w:afterAutospacing="0" w:line="384" w:lineRule="atLeast"/>
        <w:ind w:firstLine="480" w:firstLineChars="150"/>
        <w:rPr>
          <w:rFonts w:ascii="仿宋" w:hAnsi="仿宋" w:eastAsia="仿宋" w:cs="仿宋"/>
          <w:sz w:val="32"/>
          <w:szCs w:val="32"/>
        </w:rPr>
      </w:pPr>
    </w:p>
    <w:p w14:paraId="7F74B664">
      <w:pPr>
        <w:pStyle w:val="8"/>
        <w:spacing w:before="0" w:beforeAutospacing="0" w:after="0" w:afterAutospacing="0" w:line="384" w:lineRule="atLeast"/>
        <w:ind w:firstLine="4320" w:firstLineChars="135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隆回县住房和城乡建设局</w:t>
      </w:r>
    </w:p>
    <w:p w14:paraId="13F40739">
      <w:pPr>
        <w:pStyle w:val="8"/>
        <w:spacing w:before="0" w:beforeAutospacing="0" w:after="0" w:afterAutospacing="0" w:line="384" w:lineRule="atLeast"/>
        <w:ind w:firstLine="480" w:firstLineChars="15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2025年4月10日</w:t>
      </w:r>
    </w:p>
    <w:p w14:paraId="3ADA8619">
      <w:pPr>
        <w:spacing w:line="60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附件6</w:t>
      </w:r>
    </w:p>
    <w:p w14:paraId="2CD0C2D9"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专项资金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绩效自评表</w:t>
      </w:r>
    </w:p>
    <w:tbl>
      <w:tblPr>
        <w:tblStyle w:val="9"/>
        <w:tblW w:w="920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"/>
        <w:gridCol w:w="739"/>
        <w:gridCol w:w="964"/>
        <w:gridCol w:w="1350"/>
        <w:gridCol w:w="1119"/>
        <w:gridCol w:w="1581"/>
        <w:gridCol w:w="707"/>
        <w:gridCol w:w="943"/>
        <w:gridCol w:w="819"/>
      </w:tblGrid>
      <w:tr w14:paraId="211388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D83D30">
            <w:pPr>
              <w:spacing w:line="26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县级专项资金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822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31E1F5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污水处理费</w:t>
            </w:r>
          </w:p>
        </w:tc>
      </w:tr>
      <w:tr w14:paraId="5A55C9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9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29ACDD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7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F2827B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隆回县住房和城乡建设局</w:t>
            </w:r>
          </w:p>
        </w:tc>
        <w:tc>
          <w:tcPr>
            <w:tcW w:w="158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CB3A365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CDF36A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华茂污水处理厂、PPP项目各第三方机构、乡镇污水处理厂等</w:t>
            </w:r>
          </w:p>
        </w:tc>
      </w:tr>
      <w:tr w14:paraId="086094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98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2BC3FB84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9D7851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929390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AA3A9B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F1818E">
            <w:pPr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全年执行数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4E428B">
            <w:pPr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分值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07B2DD">
            <w:pPr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执行率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FA1522">
            <w:pPr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得分</w:t>
            </w:r>
          </w:p>
        </w:tc>
      </w:tr>
      <w:tr w14:paraId="52E5F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6B465F80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E06852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06CD53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1200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6FC13A">
            <w:pPr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956.16662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4B4340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956.16662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3F184B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87A7A6">
            <w:pPr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432CC2">
            <w:pPr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14:paraId="5C6421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jc w:val="center"/>
        </w:trPr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73EB89D2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CABFCC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E85B5A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1200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B3FDEB">
            <w:pPr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956.16662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EFA5DF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956.16662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689C0B">
            <w:pPr>
              <w:ind w:firstLine="180" w:firstLineChars="100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655DEF">
            <w:pPr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764C16">
            <w:pPr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10</w:t>
            </w:r>
          </w:p>
          <w:p w14:paraId="17CADC6C">
            <w:pPr>
              <w:pStyle w:val="2"/>
              <w:ind w:firstLine="640"/>
            </w:pPr>
          </w:p>
        </w:tc>
      </w:tr>
      <w:tr w14:paraId="06E688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6E930330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3D8FBD">
            <w:pPr>
              <w:jc w:val="both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582F2E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818F28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ABFED8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A4237C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445AF2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494113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</w:tr>
      <w:tr w14:paraId="6B8160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exact"/>
          <w:jc w:val="center"/>
        </w:trPr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50777F74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C5CD8C">
            <w:pPr>
              <w:ind w:firstLine="540" w:firstLineChars="30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709551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DC7A94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DD09AD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A930E5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4F9ABA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ADA891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</w:tr>
      <w:tr w14:paraId="62EEFA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98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66A3838D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7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25B86A4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CE3FDA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14:paraId="104610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exact"/>
          <w:jc w:val="center"/>
        </w:trPr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6D7FCD5E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7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000E16D8">
            <w:pPr>
              <w:pStyle w:val="8"/>
              <w:spacing w:before="0" w:beforeAutospacing="0" w:after="0" w:afterAutospacing="0"/>
              <w:rPr>
                <w:rFonts w:ascii="仿宋" w:hAnsi="仿宋" w:eastAsia="仿宋" w:cs="仿宋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sz w:val="15"/>
                <w:szCs w:val="15"/>
                <w:shd w:val="clear" w:color="auto" w:fill="FFFFFF"/>
              </w:rPr>
              <w:t>加强生态环境保护，提高人民群众生活质量，促进社会可持续发展。保障污水处理厂企业的正常运行，实现县内污水处理全部得到有效处置，为市民创造舒适整洁的城市环境。</w:t>
            </w:r>
          </w:p>
          <w:p w14:paraId="4E5D5A84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4BD5FD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eastAsia="仿宋_GB2312"/>
                <w:color w:val="000000"/>
                <w:kern w:val="0"/>
                <w:sz w:val="15"/>
                <w:szCs w:val="15"/>
              </w:rPr>
              <w:t>污水处理有效运营，污水达标后合理合规排放。加强对提升泵站设备和污水管网的运行管理和维护，保证泵站设备安全、可靠运行；提升泵站设备和污水管网的运行能力，发现问题及时处理，确保提升泵站和污水管网的良好运行。</w:t>
            </w:r>
          </w:p>
          <w:p w14:paraId="69AA5881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</w:tr>
      <w:tr w14:paraId="6BBB93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9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EEB2F8E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绩</w:t>
            </w:r>
          </w:p>
          <w:p w14:paraId="1501F601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效</w:t>
            </w:r>
          </w:p>
          <w:p w14:paraId="2FFE880D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指</w:t>
            </w:r>
          </w:p>
          <w:p w14:paraId="654DA65D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5BDD91">
            <w:pPr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3EB763">
            <w:pPr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DDCDF2">
            <w:pPr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5AB47D">
            <w:pPr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5F04EA">
            <w:pPr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34EA89">
            <w:pPr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73B2DE">
            <w:pPr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D724E3">
            <w:pPr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7A302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F1C8BAC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9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 w14:paraId="352BC386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产出指标</w:t>
            </w:r>
          </w:p>
          <w:p w14:paraId="76DB39C5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(50分)</w:t>
            </w:r>
          </w:p>
        </w:tc>
        <w:tc>
          <w:tcPr>
            <w:tcW w:w="964" w:type="dxa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 w14:paraId="52A8554A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6078A2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全年完成污水处理吨数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2BE4FE">
            <w:pPr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730万吨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168F68">
            <w:pPr>
              <w:ind w:firstLine="180" w:firstLineChars="100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730万吨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F9A3AD">
            <w:pPr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BA774E">
            <w:pPr>
              <w:ind w:firstLine="360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916394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</w:tr>
      <w:tr w14:paraId="41EB50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CEF5B44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9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2D2B8F63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 w14:paraId="014989B2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321202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污水处理水质达标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FFCA31">
            <w:pPr>
              <w:ind w:firstLine="360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01D770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3B7878">
            <w:pPr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0A0F36">
            <w:pPr>
              <w:ind w:firstLine="360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29EDDE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</w:tr>
      <w:tr w14:paraId="7E633F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FEA156E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9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4E71F9ED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 w14:paraId="254A99A9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B58E6D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污水处理管网建设和及时维护率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400B80">
            <w:pPr>
              <w:ind w:firstLine="360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4F930D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62FB93">
            <w:pPr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26D04B">
            <w:pPr>
              <w:ind w:firstLine="360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73941E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</w:tr>
      <w:tr w14:paraId="0671B0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3BE3429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9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00490A2E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 w14:paraId="21D07788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6F5A9E">
            <w:pPr>
              <w:ind w:firstLine="180" w:firstLineChars="100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污水处理费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682B2B">
            <w:pPr>
              <w:ind w:firstLine="360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1200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198AD3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956.16662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B19497">
            <w:pPr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DB3D76">
            <w:pPr>
              <w:ind w:firstLine="360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A4369A">
            <w:pPr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3"/>
                <w:szCs w:val="13"/>
              </w:rPr>
              <w:t>按实际资金推进情况</w:t>
            </w:r>
          </w:p>
        </w:tc>
      </w:tr>
      <w:tr w14:paraId="5CA044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72819EB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9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5A813ECE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55589AEB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792BC2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污水处理运营成本费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7AE7DA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2万吨/日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7E9759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2万吨/日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DF97BF">
            <w:pPr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D7E2DE">
            <w:pPr>
              <w:ind w:firstLine="360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B60B43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</w:tr>
      <w:tr w14:paraId="5DF363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61A9920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9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 w14:paraId="5B334E7A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效益指标</w:t>
            </w:r>
          </w:p>
          <w:p w14:paraId="39CF2066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964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 w14:paraId="36079649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43CA50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65E349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E6FCD3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191027">
            <w:pPr>
              <w:ind w:firstLine="360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452EE2">
            <w:pPr>
              <w:ind w:firstLine="360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61E046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</w:tr>
      <w:tr w14:paraId="3A56B6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027F7FF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9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582375A1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175CBD51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4D6F44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9B1F20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5C1414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CF5AAB">
            <w:pPr>
              <w:ind w:firstLine="360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DAA5E4">
            <w:pPr>
              <w:ind w:firstLine="360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BEEFF4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</w:tr>
      <w:tr w14:paraId="5BB28C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45D5195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9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0C6A6E05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416FB8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F0EFA6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AEDB85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0F0CE2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CFFA49">
            <w:pPr>
              <w:ind w:firstLine="360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9F292A">
            <w:pPr>
              <w:ind w:firstLine="360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8A7554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</w:tr>
      <w:tr w14:paraId="283FD4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30EFB39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9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6307B698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 w14:paraId="4583A427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D7951F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人居环境改善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BEA372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改善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13B3C9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改善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BD029F">
            <w:pPr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F2A93E">
            <w:pPr>
              <w:ind w:firstLine="360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B12670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</w:tr>
      <w:tr w14:paraId="650AAA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FDCED54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9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60BA5C1C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 w14:paraId="58B1C1A5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8EFA22">
            <w:pPr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污水处理达标排放对环境影响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B8E829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减小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88F8A7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减小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5A874A">
            <w:pPr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0A9869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B7BCCF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</w:tr>
      <w:tr w14:paraId="3F997D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9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1F2EE47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绩</w:t>
            </w:r>
          </w:p>
          <w:p w14:paraId="4F6226CE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效</w:t>
            </w:r>
          </w:p>
          <w:p w14:paraId="1771E1F5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指</w:t>
            </w:r>
          </w:p>
          <w:p w14:paraId="708D1433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1FF383F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AB6848E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7668B7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水环境质量改善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69827F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改善</w:t>
            </w: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D3D8D7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改善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287F0A">
            <w:pPr>
              <w:ind w:firstLine="180" w:firstLineChars="100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1601B8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9C52A4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</w:tr>
      <w:tr w14:paraId="67CE74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5E49C4B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 w14:paraId="0E4EBBDB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964" w:type="dxa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 w14:paraId="1044296D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服务对象</w:t>
            </w:r>
          </w:p>
          <w:p w14:paraId="6BAD059B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满意度</w:t>
            </w:r>
          </w:p>
          <w:p w14:paraId="3ADD4C53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指标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BD0CF3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人民群众满意度提升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29AF15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提升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A6F3F3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提升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1F5F04">
            <w:pPr>
              <w:ind w:firstLine="180" w:firstLineChars="100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2D0F75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9D1B3C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</w:tr>
      <w:tr w14:paraId="65CB52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exact"/>
          <w:jc w:val="center"/>
        </w:trPr>
        <w:tc>
          <w:tcPr>
            <w:tcW w:w="67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6560A452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C6767E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972D1C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91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287CF7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</w:tr>
    </w:tbl>
    <w:p w14:paraId="696FBB98">
      <w:pPr>
        <w:spacing w:line="600" w:lineRule="exact"/>
        <w:rPr>
          <w:rFonts w:ascii="仿宋" w:hAnsi="仿宋" w:eastAsia="仿宋" w:cs="仿宋"/>
          <w:sz w:val="32"/>
          <w:szCs w:val="32"/>
        </w:rPr>
      </w:pPr>
      <w:r>
        <w:rPr>
          <w:rFonts w:eastAsia="仿宋_GB2312"/>
          <w:kern w:val="0"/>
          <w:szCs w:val="21"/>
        </w:rPr>
        <w:t xml:space="preserve">填表人： </w:t>
      </w:r>
      <w:r>
        <w:rPr>
          <w:rFonts w:hint="eastAsia" w:eastAsia="仿宋_GB2312"/>
          <w:kern w:val="0"/>
          <w:szCs w:val="21"/>
        </w:rPr>
        <w:t>罗蕾</w:t>
      </w:r>
      <w:r>
        <w:rPr>
          <w:rFonts w:eastAsia="仿宋_GB2312"/>
          <w:kern w:val="0"/>
          <w:szCs w:val="21"/>
        </w:rPr>
        <w:t xml:space="preserve">  填报日期：</w:t>
      </w:r>
      <w:r>
        <w:rPr>
          <w:rFonts w:hint="eastAsia" w:eastAsia="仿宋_GB2312"/>
          <w:kern w:val="0"/>
          <w:szCs w:val="21"/>
        </w:rPr>
        <w:t>2025年4月10日</w:t>
      </w:r>
      <w:r>
        <w:rPr>
          <w:rFonts w:eastAsia="仿宋_GB2312"/>
          <w:kern w:val="0"/>
          <w:szCs w:val="21"/>
        </w:rPr>
        <w:t xml:space="preserve">  联系电话：</w:t>
      </w:r>
      <w:r>
        <w:rPr>
          <w:rFonts w:hint="eastAsia" w:eastAsia="仿宋_GB2312"/>
          <w:kern w:val="0"/>
          <w:szCs w:val="21"/>
        </w:rPr>
        <w:t>13337392720</w:t>
      </w:r>
      <w:r>
        <w:rPr>
          <w:rFonts w:eastAsia="仿宋_GB2312"/>
          <w:kern w:val="0"/>
          <w:szCs w:val="21"/>
        </w:rPr>
        <w:br w:type="textWrapping"/>
      </w:r>
      <w:r>
        <w:rPr>
          <w:rFonts w:eastAsia="仿宋_GB2312"/>
          <w:kern w:val="0"/>
          <w:szCs w:val="21"/>
        </w:rPr>
        <w:t xml:space="preserve"> 单位负责人签字：</w:t>
      </w:r>
      <w:r>
        <w:rPr>
          <w:rFonts w:hint="eastAsia" w:eastAsia="仿宋_GB2312"/>
          <w:kern w:val="0"/>
          <w:szCs w:val="21"/>
        </w:rPr>
        <w:t>周玉科</w:t>
      </w:r>
    </w:p>
    <w:sectPr>
      <w:pgSz w:w="11906" w:h="16838"/>
      <w:pgMar w:top="567" w:right="1800" w:bottom="567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_GB2312">
    <w:altName w:val="仿宋"/>
    <w:panose1 w:val="02010609060101010101"/>
    <w:charset w:val="00"/>
    <w:family w:val="roman"/>
    <w:pitch w:val="default"/>
    <w:sig w:usb0="00000000" w:usb1="00000000" w:usb2="00000000" w:usb3="00000000" w:csb0="00000000" w:csb1="00000000"/>
  </w:font>
  <w:font w:name="KaiTi_GB2312">
    <w:altName w:val="楷体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E68502F"/>
    <w:multiLevelType w:val="singleLevel"/>
    <w:tmpl w:val="EE68502F"/>
    <w:lvl w:ilvl="0" w:tentative="0">
      <w:start w:val="2"/>
      <w:numFmt w:val="chineseCounting"/>
      <w:suff w:val="space"/>
      <w:lvlText w:val="(%1)"/>
      <w:lvlJc w:val="left"/>
      <w:rPr>
        <w:rFonts w:hint="eastAsia"/>
      </w:rPr>
    </w:lvl>
  </w:abstractNum>
  <w:abstractNum w:abstractNumId="1">
    <w:nsid w:val="0F9DBD29"/>
    <w:multiLevelType w:val="singleLevel"/>
    <w:tmpl w:val="0F9DBD29"/>
    <w:lvl w:ilvl="0" w:tentative="0">
      <w:start w:val="5"/>
      <w:numFmt w:val="chineseCounting"/>
      <w:suff w:val="nothing"/>
      <w:lvlText w:val="%1、"/>
      <w:lvlJc w:val="left"/>
      <w:pPr>
        <w:ind w:left="560" w:firstLine="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JjNTlmZWE2ZjYyYTUzM2NmMjM5NzhhMzJiNTgyOTUifQ=="/>
  </w:docVars>
  <w:rsids>
    <w:rsidRoot w:val="00304908"/>
    <w:rsid w:val="00094D28"/>
    <w:rsid w:val="00155DFD"/>
    <w:rsid w:val="001D0599"/>
    <w:rsid w:val="0022456B"/>
    <w:rsid w:val="002D101E"/>
    <w:rsid w:val="00304908"/>
    <w:rsid w:val="005C3BFD"/>
    <w:rsid w:val="00A577A0"/>
    <w:rsid w:val="00AD5D03"/>
    <w:rsid w:val="00BD5593"/>
    <w:rsid w:val="00CB202D"/>
    <w:rsid w:val="00EF3DE8"/>
    <w:rsid w:val="037E320E"/>
    <w:rsid w:val="042E69E2"/>
    <w:rsid w:val="046412C7"/>
    <w:rsid w:val="05922FA0"/>
    <w:rsid w:val="072E6020"/>
    <w:rsid w:val="089D7C92"/>
    <w:rsid w:val="09EE45FF"/>
    <w:rsid w:val="0BFE4EEC"/>
    <w:rsid w:val="0D5D20E6"/>
    <w:rsid w:val="0E2A5100"/>
    <w:rsid w:val="0EE5457E"/>
    <w:rsid w:val="0FBD50BE"/>
    <w:rsid w:val="0FE12B5A"/>
    <w:rsid w:val="10433815"/>
    <w:rsid w:val="10525806"/>
    <w:rsid w:val="11BE2A7E"/>
    <w:rsid w:val="12BE3627"/>
    <w:rsid w:val="136A76DF"/>
    <w:rsid w:val="14257AC5"/>
    <w:rsid w:val="1485084F"/>
    <w:rsid w:val="14B0757C"/>
    <w:rsid w:val="14EB1BED"/>
    <w:rsid w:val="15D078F9"/>
    <w:rsid w:val="163634D4"/>
    <w:rsid w:val="167504A0"/>
    <w:rsid w:val="17FD2763"/>
    <w:rsid w:val="187A3B4C"/>
    <w:rsid w:val="19722A75"/>
    <w:rsid w:val="197B401F"/>
    <w:rsid w:val="1A077661"/>
    <w:rsid w:val="1ABD41C4"/>
    <w:rsid w:val="1ACD08AB"/>
    <w:rsid w:val="1C6E1C1A"/>
    <w:rsid w:val="1CE912A0"/>
    <w:rsid w:val="1DAD49C3"/>
    <w:rsid w:val="1DEC729A"/>
    <w:rsid w:val="1F501AAA"/>
    <w:rsid w:val="285443B9"/>
    <w:rsid w:val="2ACB0237"/>
    <w:rsid w:val="2D1057CD"/>
    <w:rsid w:val="2D1A7254"/>
    <w:rsid w:val="2ED2428A"/>
    <w:rsid w:val="2EF97A69"/>
    <w:rsid w:val="2F2820FC"/>
    <w:rsid w:val="3005243D"/>
    <w:rsid w:val="30662EDC"/>
    <w:rsid w:val="30C542F1"/>
    <w:rsid w:val="31774C75"/>
    <w:rsid w:val="329F4483"/>
    <w:rsid w:val="36A84DB7"/>
    <w:rsid w:val="383E473E"/>
    <w:rsid w:val="38E15F1D"/>
    <w:rsid w:val="39131727"/>
    <w:rsid w:val="39276F80"/>
    <w:rsid w:val="3BC92571"/>
    <w:rsid w:val="3C134F47"/>
    <w:rsid w:val="3C7324DC"/>
    <w:rsid w:val="3E24689A"/>
    <w:rsid w:val="3F620D12"/>
    <w:rsid w:val="3F634A8A"/>
    <w:rsid w:val="416E7E42"/>
    <w:rsid w:val="4213615B"/>
    <w:rsid w:val="425C5EED"/>
    <w:rsid w:val="42B9333F"/>
    <w:rsid w:val="44CC44F5"/>
    <w:rsid w:val="477517FF"/>
    <w:rsid w:val="47B70069"/>
    <w:rsid w:val="48384D06"/>
    <w:rsid w:val="48722111"/>
    <w:rsid w:val="487E032C"/>
    <w:rsid w:val="49BD6788"/>
    <w:rsid w:val="4A3A6293"/>
    <w:rsid w:val="4E067654"/>
    <w:rsid w:val="4F3B17EC"/>
    <w:rsid w:val="518E5997"/>
    <w:rsid w:val="561B2097"/>
    <w:rsid w:val="583354EA"/>
    <w:rsid w:val="5A5B4BFD"/>
    <w:rsid w:val="5AB53F94"/>
    <w:rsid w:val="5B102652"/>
    <w:rsid w:val="5CB1380F"/>
    <w:rsid w:val="5CBC5AAE"/>
    <w:rsid w:val="5CDF79EE"/>
    <w:rsid w:val="5DB91FED"/>
    <w:rsid w:val="5E7B63F6"/>
    <w:rsid w:val="5ED6097D"/>
    <w:rsid w:val="5FDB26EF"/>
    <w:rsid w:val="602A71D2"/>
    <w:rsid w:val="60F33A68"/>
    <w:rsid w:val="611F03B9"/>
    <w:rsid w:val="62BB2BF3"/>
    <w:rsid w:val="63410BCC"/>
    <w:rsid w:val="64760C38"/>
    <w:rsid w:val="647629E6"/>
    <w:rsid w:val="650E0818"/>
    <w:rsid w:val="65B31D24"/>
    <w:rsid w:val="65D93CB3"/>
    <w:rsid w:val="67426029"/>
    <w:rsid w:val="67452B44"/>
    <w:rsid w:val="68662D72"/>
    <w:rsid w:val="68A55712"/>
    <w:rsid w:val="697F233D"/>
    <w:rsid w:val="69847953"/>
    <w:rsid w:val="6A3F1ACC"/>
    <w:rsid w:val="6A824822"/>
    <w:rsid w:val="6B8C6F93"/>
    <w:rsid w:val="6EB20ABF"/>
    <w:rsid w:val="6ECD6A46"/>
    <w:rsid w:val="6FCD36D6"/>
    <w:rsid w:val="702832A1"/>
    <w:rsid w:val="70622071"/>
    <w:rsid w:val="70F324E3"/>
    <w:rsid w:val="72BE0619"/>
    <w:rsid w:val="740873D3"/>
    <w:rsid w:val="749C4CBB"/>
    <w:rsid w:val="7A4F78E6"/>
    <w:rsid w:val="7EE03426"/>
    <w:rsid w:val="7F6A2CF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spacing w:after="0"/>
      <w:ind w:left="0" w:leftChars="0" w:firstLine="420" w:firstLineChars="200"/>
    </w:pPr>
    <w:rPr>
      <w:sz w:val="32"/>
    </w:rPr>
  </w:style>
  <w:style w:type="paragraph" w:styleId="3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5">
    <w:name w:val="toa heading"/>
    <w:basedOn w:val="1"/>
    <w:next w:val="1"/>
    <w:qFormat/>
    <w:uiPriority w:val="0"/>
    <w:pPr>
      <w:spacing w:before="120" w:after="200" w:line="276" w:lineRule="auto"/>
    </w:pPr>
    <w:rPr>
      <w:rFonts w:ascii="Arial" w:hAnsi="Arial" w:eastAsia="宋体"/>
      <w:sz w:val="24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2100</Words>
  <Characters>2274</Characters>
  <Lines>3</Lines>
  <Paragraphs>5</Paragraphs>
  <TotalTime>17</TotalTime>
  <ScaleCrop>false</ScaleCrop>
  <LinksUpToDate>false</LinksUpToDate>
  <CharactersWithSpaces>2309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蕾拉</cp:lastModifiedBy>
  <dcterms:modified xsi:type="dcterms:W3CDTF">2025-06-05T02:58:55Z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14B7FD0D5673482E8A26C1C14A2E5408_13</vt:lpwstr>
  </property>
  <property fmtid="{D5CDD505-2E9C-101B-9397-08002B2CF9AE}" pid="4" name="KSOTemplateDocerSaveRecord">
    <vt:lpwstr>eyJoZGlkIjoiNmJjNTlmZWE2ZjYyYTUzM2NmMjM5NzhhMzJiNTgyOTUiLCJ1c2VySWQiOiIxMTY4NjQzOTQ1In0=</vt:lpwstr>
  </property>
</Properties>
</file>