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6746C"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  <w:lang w:eastAsia="zh-CN"/>
        </w:rPr>
        <w:t>周旺镇人民政府</w:t>
      </w:r>
      <w:r>
        <w:rPr>
          <w:rFonts w:hint="eastAsia" w:ascii="宋体" w:hAnsi="宋体" w:eastAsia="宋体" w:cs="宋体"/>
          <w:b w:val="0"/>
          <w:bCs/>
          <w:kern w:val="0"/>
          <w:sz w:val="32"/>
          <w:szCs w:val="32"/>
        </w:rPr>
        <w:t>部门整体支出绩效自评报告</w:t>
      </w:r>
    </w:p>
    <w:p w14:paraId="44EF40A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0F7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一、部门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、单位基本情况</w:t>
      </w:r>
    </w:p>
    <w:p w14:paraId="0C6D3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部门职能职责：1、执行本级人民代表大会的决议和上级国家行政机关的决定和命令，发布决定和命令。2、执行本行政区域内的经济和社会发展计划，加强公共设施的建设和管理，发展各项服务事业。3、依法管理本级财政、执行本级预算。4、为农民提供有效的科技、教育、文化、信息、卫生、体育、医疗、人才开发、劳动就业、安全生产等方面的服务。5、保护国有资产和集体所有的财产，保护公民私人所有的合法财产、保障公民的人身权利、民主权利和其他权利，保护各种组织的合法权益。6、开展社会主义民主与法制教育，加强社会治安综合治理，调解民事纠纷，维护社会秩序。7、负责民政工作，发展社会福利事业，做好社会保障工作，办理兵役事项。8、承办上级人民政府交办的其他事项。</w:t>
      </w:r>
    </w:p>
    <w:p w14:paraId="0010E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机构设置。内设机构包括：设置6个党政内设机构，即：党政综合办公室、基层党建办公室、经济发展办公室（挂农业农村办公室、扶贫工作办公室两块牌子）、社会事务办公室（挂行政审批服务办公室牌子）、社会治安和应急管理办公室、自然资源和生态环境办公室。6个直属事业单位，即财政所、社会事务综合服务中心、农业综合服务中心（挂动物防疫站牌子）、政务（便民）服务中心、退役军人事务服务站、综合行政执法大队。</w:t>
      </w:r>
    </w:p>
    <w:p w14:paraId="71CA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年的重点工作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、绩效目标设定情况。</w:t>
      </w:r>
    </w:p>
    <w:p w14:paraId="48F5B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1、巩固脱贫攻坚成果。2、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产业转型升级。3、美丽乡村建设。4民生福祉有效增进。4、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社会大局和谐稳定。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行政效能全面提升。</w:t>
      </w:r>
    </w:p>
    <w:p w14:paraId="2A4951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门整体支出情况</w:t>
      </w:r>
    </w:p>
    <w:p w14:paraId="5BB56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本年收入2672.80万元，其中一般公共预算收入2530.04万元，政府性基金预算拨款收入142.76万元。</w:t>
      </w:r>
    </w:p>
    <w:p w14:paraId="4E44B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年支出2672.80万元，其中一般公共服务支出1732.87万元，社会保障和就业支出10.85万元，卫生健康支出12.12万元，节能环保支出5万元，城乡社区支出163.62万元，农林水支出743.34万元，灾害防治及应急管理支出5万元。</w:t>
      </w:r>
    </w:p>
    <w:p w14:paraId="41580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本年结存0万元</w:t>
      </w:r>
    </w:p>
    <w:p w14:paraId="3E99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二、部门整体支出管理及使用情况</w:t>
      </w:r>
    </w:p>
    <w:p w14:paraId="3BCC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（一）基本支出情况</w:t>
      </w:r>
    </w:p>
    <w:p w14:paraId="2532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1817.06万元，其中人员经费1549.40万元，公用经费267.66万元。</w:t>
      </w:r>
    </w:p>
    <w:p w14:paraId="7E5877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县级专项资金</w:t>
      </w:r>
      <w:r>
        <w:rPr>
          <w:rFonts w:hint="eastAsia" w:ascii="宋体" w:hAnsi="宋体" w:eastAsia="宋体" w:cs="宋体"/>
          <w:sz w:val="32"/>
          <w:szCs w:val="32"/>
        </w:rPr>
        <w:t>情况</w:t>
      </w:r>
    </w:p>
    <w:p w14:paraId="1C3B4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项目支出855.73万元。</w:t>
      </w:r>
    </w:p>
    <w:p w14:paraId="41CFB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（三）“三公”经费情况</w:t>
      </w:r>
    </w:p>
    <w:p w14:paraId="13597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因公出国（境）费用；</w:t>
      </w:r>
    </w:p>
    <w:p w14:paraId="3D5B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无</w:t>
      </w:r>
    </w:p>
    <w:p w14:paraId="64108C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公务接待费；</w:t>
      </w:r>
    </w:p>
    <w:p w14:paraId="6D329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公务接待3.89万元。</w:t>
      </w:r>
    </w:p>
    <w:p w14:paraId="3CBE6E9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公务用车购置及运行费。</w:t>
      </w:r>
    </w:p>
    <w:p w14:paraId="45E0B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公务用车运行费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2.87万元。</w:t>
      </w:r>
    </w:p>
    <w:p w14:paraId="69870BE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政府性基金预算支出情况</w:t>
      </w:r>
    </w:p>
    <w:p w14:paraId="21D40FC8"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本年收入1427.57万元，本年支出1427.57万元，本年结存0万元</w:t>
      </w:r>
    </w:p>
    <w:p w14:paraId="1E932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四、国有资本经营预算支出情况</w:t>
      </w:r>
    </w:p>
    <w:p w14:paraId="0E7B8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无</w:t>
      </w:r>
    </w:p>
    <w:p w14:paraId="2530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五、社会保险基金预算支出情况</w:t>
      </w:r>
    </w:p>
    <w:p w14:paraId="3ADF7C4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无</w:t>
      </w:r>
    </w:p>
    <w:p w14:paraId="636C4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六、部门整体支出绩效情况</w:t>
      </w:r>
    </w:p>
    <w:p w14:paraId="51631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1、持续巩固脱贫攻坚成果。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压实工作责任，选优派强镇派工作组17个34人，统筹抓好政策落实和工作落实。认真落实日常动态监测，严格落实“三网三员三色”监测帮扶机制，对全镇10125户农户进行了多轮排查回头看，切实抓好问题整改销号清零。新纳入监测对象4户12人，风险消除7户24人，做到了有进有出、动态调整。有力推进“一二三四”法，积极拓展村级乡村振兴公司业务，2023年全镇17个村（社区）集体经济收入达255.37万元，其中经营性收入超30万元的村2个，超过10万元的村13个，获评隆回县2023年度村级集体经济发展先进单位。</w:t>
      </w:r>
    </w:p>
    <w:p w14:paraId="175D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2、聚焦高质量发展，产业转型升级步伐加快。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拓宽招商引资渠道，优化营商环境，新引进隆回县银帆建筑材料有限公司，计划投资5000万元，已经完成征地工作。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积极推进经营主体培育工程，新增经营主体202家，其中个企净增长32家。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对持续干旱的严峻形势，牢牢守住粮食安全底线，稳定水稻面积2.5万余亩，双季稻办点示范面积427亩。推进烤烟种植高质量发展，种植烤烟1200亩，实现烟叶收购2500担，烟叶单产总产创近5年最好成绩。积极推进项目建设，完成潭水、群胜村道路硬化1.6公里，对板屋亭、卢古塘、彩塘6座水库实施除险加固，完成邓家、新兴、石井等村山塘清淤维修19口，新建电排2处。在新兴、清水等村实施移民项目16个，项目资金68万元。大力推进恢复耕地工作，完成任务472亩，排名全县第6。</w:t>
      </w:r>
    </w:p>
    <w:p w14:paraId="71914A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3、致力美丽乡村建设，乡村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面貌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焕然一新。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加强生态环境保护工作，狠抓污染防治，查处焚烧秸秆类案件25件，获评全县“蓝天保卫战”先进单位。面对5月份全市十差乡镇挂牌被动局面，积极部署，强化责任落实，全力开展摘牌整治，有力扭转了周旺镇人居环境形象。编印了《周旺镇全面提升人居环境倡议书》8000份，开展集中整治统一行动300余次，共整治问题4500余处，创建示范院落25个，完成改厕60座，歼灭旱厕50余座，完成危房改造任务5户，拆除“空心房” 74座。出让了原农机站国有土地，周旺商贸中心建设快速推进，将成为周旺新地标。</w:t>
      </w:r>
    </w:p>
    <w:p w14:paraId="6028396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Autospacing="0" w:afterAutospacing="0" w:line="560" w:lineRule="exact"/>
        <w:ind w:firstLine="643" w:firstLineChars="200"/>
        <w:rPr>
          <w:rFonts w:hint="eastAsia" w:ascii="宋体" w:hAnsi="宋体" w:eastAsia="宋体" w:cs="宋体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4、紧抓惠民生补短板，民生福祉有效增进。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完成436户640人低保对象年审，共发放低保资金207.62万元，发放临时救助资金17.1万元，五保供养金181.2万元。落实退役军人优待抚恤，发放慰问金13万元。实施了周旺中学1300万元提质改造项目，发动广东狮子会捐助价值30万元课桌椅1000套，于2023年9月1日顺利开学。积极对接县农商银行，获捐20万元改造周旺公立幼儿园基础设施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全力推进医保收缴，脱贫户、监测户等四类人员医保缴纳达100%。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针对城区停车难得问题，在城区新划停车位220个，有效缓解交通拥堵压力。有力推进问题厕所整改回头看，压实包村包户整改责任，投入改厕经费22万元，按时完成298座问题厕所整改工作任务，先后多次代表隆回县迎接省专项督察组、省委巡视组的督察，获得上级肯定与好评。</w:t>
      </w:r>
    </w:p>
    <w:p w14:paraId="70FDE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5、统筹发展和安全，社会大局和谐稳定。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坚守耕地红线，敢于动真碰硬，铁腕整治违法用地，拆除了车坪村、居委会、江口村的违法建筑，形成了有力震慑，违法用地管控工作排在全县第1。完善信访工作机制，落实五包一责任，按时完成省委巡视组交办件10件办理工作，稳妥处置化解了杨岭村堵路、清水村土地纠纷、斜岭村村民在外意外死亡事故等一批信访矛盾，信访形势持续好转。加大涉诈人员劝返力度。共劝返境外窝点人员3人。大力推进禁毒工作，获评2023年全县禁毒工作先进单位。深化平安创建，全面加强应急管理，统筹推进安全生产、交通安全、学生防溺水、利剑护蕾等工作，深入开展安全防范工作，“敲门行动”推进率排名全县第5，获评2023年全县春运工作先进单位、全县平安建设、防汛抗旱工作先进单位等。</w:t>
      </w:r>
    </w:p>
    <w:p w14:paraId="56C58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6、牢记使命、尽心履职，行政效能全面提升。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始终坚持党的领导，深入开展</w:t>
      </w:r>
      <w:r>
        <w:rPr>
          <w:rFonts w:hint="eastAsia" w:ascii="宋体" w:hAnsi="宋体" w:cs="宋体"/>
          <w:kern w:val="2"/>
          <w:sz w:val="32"/>
          <w:szCs w:val="32"/>
          <w:lang w:val="en-US" w:eastAsia="zh-CN" w:bidi="ar-SA"/>
        </w:rPr>
        <w:t>学习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贯彻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习近平新时代中国特色社会主义思想主题教育，始终把“学思想、强党性、重实践、建新功”总要求贯穿政府工作全过程，政府系统党的建设不断加强。成功举办车塘铺首届村晚，深受群众好评。建立周旺“宝庆望星楼”公众号，以文化引领，构筑周旺人民自信自强的精神新高地。同时，人大、政协、民宗、保险、邮政、老干等工作全面提升，工会、共青团、妇联、工商联等群团组织作用更加明显。</w:t>
      </w:r>
    </w:p>
    <w:p w14:paraId="55E910DD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存在的问题</w:t>
      </w:r>
    </w:p>
    <w:p w14:paraId="309B8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乡镇整体绩效存在的问题主要包括预算执行与预算编制的差异、预算执行分析的不足、内控制度和财务管理的不足、项目支出管理的不足、以及财政收支矛盾、经济结构问题等。</w:t>
      </w:r>
    </w:p>
    <w:p w14:paraId="17A2E64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改进措施及有关建议</w:t>
      </w:r>
    </w:p>
    <w:p w14:paraId="12AE45D2">
      <w:pPr>
        <w:spacing w:after="80" w:line="640" w:lineRule="exact"/>
        <w:ind w:firstLine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1．加强预算编制和执行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确保预算编制的合理性，提高预算编制的准确性，减少年内预算调整的频率。</w:t>
      </w:r>
    </w:p>
    <w:p w14:paraId="23D5A67D">
      <w:pPr>
        <w:spacing w:after="80" w:line="640" w:lineRule="exac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深化预算执行分析，从全方位、多角度分析财政支出状况，科学评价资金绩效。</w:t>
      </w:r>
    </w:p>
    <w:p w14:paraId="4618E861">
      <w:pPr>
        <w:spacing w:after="80" w:line="640" w:lineRule="exac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完善内控制度，加强财务管理，确保资金使用的合理性和有效性。</w:t>
      </w:r>
    </w:p>
    <w:p w14:paraId="28A7FCDA">
      <w:pPr>
        <w:spacing w:after="80" w:line="640" w:lineRule="exact"/>
        <w:ind w:firstLine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加强项目支出管理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增强与项目部门的沟通，完善各项支出管理，提高整体业务水平。</w:t>
      </w:r>
    </w:p>
    <w:p w14:paraId="747C749A">
      <w:pPr>
        <w:spacing w:after="80" w:line="640" w:lineRule="exac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细化预算编制工作，提高预算编制的明确性和细化程度。</w:t>
      </w:r>
    </w:p>
    <w:p w14:paraId="380E2121">
      <w:pPr>
        <w:spacing w:after="80" w:line="640" w:lineRule="exact"/>
        <w:ind w:firstLine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解决财政收支矛盾和经济结构问题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面对财政收支矛盾和经济结构问题，应通过优化经济结构、提高财政收入、合理规划财政支出等措施，缓解收支压力。</w:t>
      </w:r>
    </w:p>
    <w:p w14:paraId="23B17B25">
      <w:pPr>
        <w:spacing w:line="640" w:lineRule="exac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强化对绩效目标的监控，定期对预算执行情况进行监督，确保绩效目标的实现。</w:t>
      </w:r>
    </w:p>
    <w:p w14:paraId="43E9B357"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32"/>
          <w:szCs w:val="32"/>
        </w:rPr>
      </w:pPr>
    </w:p>
    <w:p w14:paraId="15E4A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报告应包括以下附件：</w:t>
      </w:r>
    </w:p>
    <w:p w14:paraId="537E7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1.部门整体支出绩效评价基础数据表</w:t>
      </w:r>
    </w:p>
    <w:p w14:paraId="3A83A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0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2.部门整体支出绩效自评表</w:t>
      </w:r>
    </w:p>
    <w:p w14:paraId="18CD8A91">
      <w:pPr>
        <w:spacing w:line="560" w:lineRule="exac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09C8CB6">
      <w:pPr>
        <w:spacing w:line="560" w:lineRule="exac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</w:p>
    <w:p w14:paraId="4E14A3ED">
      <w:pPr>
        <w:widowControl w:val="0"/>
        <w:ind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部门整体支出绩效评价基础数据表</w:t>
      </w:r>
    </w:p>
    <w:tbl>
      <w:tblPr>
        <w:tblStyle w:val="3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27E5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C99A324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2F41EC5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隆回县周旺镇人民政府</w:t>
            </w:r>
          </w:p>
        </w:tc>
      </w:tr>
      <w:tr w14:paraId="609D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7C78F809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65804715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679B25E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7D75E6DF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控制率</w:t>
            </w:r>
          </w:p>
        </w:tc>
      </w:tr>
      <w:tr w14:paraId="4C51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292CF4F8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082C84B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2099" w:type="dxa"/>
            <w:gridSpan w:val="2"/>
            <w:vAlign w:val="center"/>
          </w:tcPr>
          <w:p w14:paraId="3CD40138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838" w:type="dxa"/>
            <w:gridSpan w:val="2"/>
            <w:vAlign w:val="center"/>
          </w:tcPr>
          <w:p w14:paraId="472625B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100%0</w:t>
            </w:r>
          </w:p>
        </w:tc>
      </w:tr>
      <w:tr w14:paraId="4ED2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EF15F9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75D4A47B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1BA80CF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0D00DDF9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2023年决算数</w:t>
            </w:r>
          </w:p>
        </w:tc>
      </w:tr>
      <w:tr w14:paraId="618A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034A9762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11BAB36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6.93</w:t>
            </w:r>
          </w:p>
        </w:tc>
        <w:tc>
          <w:tcPr>
            <w:tcW w:w="2099" w:type="dxa"/>
            <w:gridSpan w:val="2"/>
            <w:vAlign w:val="center"/>
          </w:tcPr>
          <w:p w14:paraId="6147D395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838" w:type="dxa"/>
            <w:gridSpan w:val="2"/>
            <w:vAlign w:val="center"/>
          </w:tcPr>
          <w:p w14:paraId="181EACD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6.76</w:t>
            </w:r>
          </w:p>
        </w:tc>
      </w:tr>
      <w:tr w14:paraId="13A7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11270D51">
            <w:pPr>
              <w:widowControl w:val="0"/>
              <w:numPr>
                <w:ilvl w:val="0"/>
                <w:numId w:val="6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公务用车购置和维护</w:t>
            </w:r>
          </w:p>
          <w:p w14:paraId="4CD8FBF9">
            <w:pPr>
              <w:widowControl w:val="0"/>
              <w:numPr>
                <w:ilvl w:val="0"/>
                <w:numId w:val="0"/>
              </w:numPr>
              <w:ind w:leftChars="0"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0707A8CC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1.95</w:t>
            </w:r>
          </w:p>
        </w:tc>
        <w:tc>
          <w:tcPr>
            <w:tcW w:w="2099" w:type="dxa"/>
            <w:gridSpan w:val="2"/>
            <w:vAlign w:val="center"/>
          </w:tcPr>
          <w:p w14:paraId="6E374066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3C6672E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2.87</w:t>
            </w:r>
          </w:p>
        </w:tc>
      </w:tr>
      <w:tr w14:paraId="7110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046C3B20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36BB077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C309C45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9A093F4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</w:tr>
      <w:tr w14:paraId="033A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446DC26C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35582207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1.95</w:t>
            </w:r>
          </w:p>
        </w:tc>
        <w:tc>
          <w:tcPr>
            <w:tcW w:w="2099" w:type="dxa"/>
            <w:gridSpan w:val="2"/>
            <w:vAlign w:val="center"/>
          </w:tcPr>
          <w:p w14:paraId="648FB3F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838" w:type="dxa"/>
            <w:gridSpan w:val="2"/>
            <w:vAlign w:val="center"/>
          </w:tcPr>
          <w:p w14:paraId="48213AEC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2.87</w:t>
            </w:r>
          </w:p>
        </w:tc>
      </w:tr>
      <w:tr w14:paraId="4BEA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9F109FC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545D0674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DB2D23C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03A0A98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</w:tr>
      <w:tr w14:paraId="4CFC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092ECE3A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6964000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4.98</w:t>
            </w:r>
          </w:p>
        </w:tc>
        <w:tc>
          <w:tcPr>
            <w:tcW w:w="2099" w:type="dxa"/>
            <w:gridSpan w:val="2"/>
            <w:vAlign w:val="center"/>
          </w:tcPr>
          <w:p w14:paraId="5A212CB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14:paraId="3575C6DC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3.89</w:t>
            </w:r>
          </w:p>
        </w:tc>
      </w:tr>
      <w:tr w14:paraId="6155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37592766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709A5F8E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0549344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8FEA4E5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E895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068216A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2FB37FE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A3BE229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F82CC5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4681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10B141D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304CC5E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5C430B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FEC3B4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AAF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4C825002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3EC8234B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23E100F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56E1D0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08E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9613B60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03EF9DD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167585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5583A0E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BA5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6A4ABB3F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230A1A3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8060786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57DC2F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475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76FE04BE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316E58BE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287</w:t>
            </w:r>
          </w:p>
        </w:tc>
        <w:tc>
          <w:tcPr>
            <w:tcW w:w="2099" w:type="dxa"/>
            <w:gridSpan w:val="2"/>
            <w:vAlign w:val="center"/>
          </w:tcPr>
          <w:p w14:paraId="08C8731E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267.65</w:t>
            </w:r>
          </w:p>
        </w:tc>
        <w:tc>
          <w:tcPr>
            <w:tcW w:w="1838" w:type="dxa"/>
            <w:gridSpan w:val="2"/>
            <w:vAlign w:val="center"/>
          </w:tcPr>
          <w:p w14:paraId="112DDD2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267.65</w:t>
            </w:r>
          </w:p>
        </w:tc>
      </w:tr>
      <w:tr w14:paraId="38C5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21612F4C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059A82C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28.78</w:t>
            </w:r>
          </w:p>
        </w:tc>
        <w:tc>
          <w:tcPr>
            <w:tcW w:w="2099" w:type="dxa"/>
            <w:gridSpan w:val="2"/>
            <w:vAlign w:val="center"/>
          </w:tcPr>
          <w:p w14:paraId="608628A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838" w:type="dxa"/>
            <w:gridSpan w:val="2"/>
            <w:vAlign w:val="center"/>
          </w:tcPr>
          <w:p w14:paraId="1213134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27.97</w:t>
            </w:r>
          </w:p>
        </w:tc>
      </w:tr>
      <w:tr w14:paraId="108B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64F62B7C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169370D5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34.21</w:t>
            </w:r>
          </w:p>
        </w:tc>
        <w:tc>
          <w:tcPr>
            <w:tcW w:w="2099" w:type="dxa"/>
            <w:gridSpan w:val="2"/>
            <w:vAlign w:val="center"/>
          </w:tcPr>
          <w:p w14:paraId="47F3BB19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838" w:type="dxa"/>
            <w:gridSpan w:val="2"/>
            <w:vAlign w:val="center"/>
          </w:tcPr>
          <w:p w14:paraId="17E4C84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35.8</w:t>
            </w:r>
          </w:p>
        </w:tc>
      </w:tr>
      <w:tr w14:paraId="1683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32452FB">
            <w:pPr>
              <w:widowControl w:val="0"/>
              <w:ind w:firstLine="6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0E12041A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5.7</w:t>
            </w:r>
          </w:p>
        </w:tc>
        <w:tc>
          <w:tcPr>
            <w:tcW w:w="2099" w:type="dxa"/>
            <w:gridSpan w:val="2"/>
            <w:vAlign w:val="center"/>
          </w:tcPr>
          <w:p w14:paraId="4B3D7EA3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38" w:type="dxa"/>
            <w:gridSpan w:val="2"/>
            <w:vAlign w:val="center"/>
          </w:tcPr>
          <w:p w14:paraId="54811E58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6.8</w:t>
            </w:r>
          </w:p>
        </w:tc>
      </w:tr>
      <w:tr w14:paraId="286E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00" w:type="dxa"/>
            <w:vAlign w:val="center"/>
          </w:tcPr>
          <w:p w14:paraId="6D01BCD9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02D8D6FF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099" w:type="dxa"/>
            <w:gridSpan w:val="2"/>
            <w:vAlign w:val="center"/>
          </w:tcPr>
          <w:p w14:paraId="1FA50ED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838" w:type="dxa"/>
            <w:gridSpan w:val="2"/>
            <w:vAlign w:val="center"/>
          </w:tcPr>
          <w:p w14:paraId="4F9F60A4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14.2</w:t>
            </w:r>
          </w:p>
        </w:tc>
      </w:tr>
      <w:tr w14:paraId="0F49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7A44DFAE">
            <w:pPr>
              <w:widowControl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3B5D065F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7B6420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377DF9C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930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0AD84CE1">
            <w:pPr>
              <w:widowControl w:val="0"/>
              <w:ind w:left="320" w:leftChars="0" w:hanging="32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14:paraId="428B8771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33024C15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77E4813E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0431D5A8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4FA0504F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00B03EBD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7671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03444BD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 w14:paraId="01CF15F2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83" w:type="dxa"/>
            <w:vAlign w:val="center"/>
          </w:tcPr>
          <w:p w14:paraId="4A9A3FEE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127" w:type="dxa"/>
            <w:vAlign w:val="center"/>
          </w:tcPr>
          <w:p w14:paraId="41680C21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72" w:type="dxa"/>
            <w:vAlign w:val="center"/>
          </w:tcPr>
          <w:p w14:paraId="320EF700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017" w:type="dxa"/>
            <w:vAlign w:val="center"/>
          </w:tcPr>
          <w:p w14:paraId="081DBD1D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21" w:type="dxa"/>
            <w:vAlign w:val="center"/>
          </w:tcPr>
          <w:p w14:paraId="6E538AFF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0</w:t>
            </w:r>
          </w:p>
        </w:tc>
      </w:tr>
      <w:tr w14:paraId="5521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0380A8E5">
            <w:pPr>
              <w:widowControl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110B4869">
            <w:pPr>
              <w:widowControl w:val="0"/>
              <w:ind w:firstLine="64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5B98B22E">
      <w:pPr>
        <w:widowControl w:val="0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24332409">
      <w:pPr>
        <w:widowControl w:val="0"/>
        <w:ind w:left="0" w:leftChars="0" w:firstLine="64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说明：“县级专项资金”需要填报基本支出以外的所有县级专项资金情况，“公用经费”填报基本支出中的一般商品和服务支出。</w:t>
      </w:r>
    </w:p>
    <w:p w14:paraId="2C97920F">
      <w:pPr>
        <w:widowControl w:val="0"/>
        <w:ind w:left="0" w:leftChars="0" w:firstLine="64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 w14:paraId="20196B11">
      <w:pPr>
        <w:widowControl w:val="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填表人：杨剑       填报日期：     联系电话：8681301           单位负责人签字：文贤成</w:t>
      </w:r>
    </w:p>
    <w:p w14:paraId="66FDC2DD">
      <w:pPr>
        <w:spacing w:line="640" w:lineRule="exact"/>
        <w:ind w:firstLine="8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部门整体支出绩效自评表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64"/>
        <w:gridCol w:w="284"/>
        <w:gridCol w:w="1484"/>
        <w:gridCol w:w="1484"/>
        <w:gridCol w:w="1175"/>
        <w:gridCol w:w="798"/>
        <w:gridCol w:w="936"/>
        <w:gridCol w:w="799"/>
      </w:tblGrid>
      <w:tr w14:paraId="3F22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97121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预算单位名称</w:t>
            </w:r>
          </w:p>
        </w:tc>
        <w:tc>
          <w:tcPr>
            <w:tcW w:w="0" w:type="auto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2F79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隆回县周旺镇人民政府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209D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E3C1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年度预</w:t>
            </w:r>
          </w:p>
          <w:p w14:paraId="55D28A3A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算申请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14E3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1180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220C1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8568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633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4F72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784C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得分</w:t>
            </w:r>
          </w:p>
        </w:tc>
      </w:tr>
      <w:tr w14:paraId="40D55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D303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F8C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7BD5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2033.99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24C5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2672.80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740F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2672.80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11A4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41C8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303F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</w:p>
        </w:tc>
      </w:tr>
      <w:tr w14:paraId="568C2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B8F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D67D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按收入性质分：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C3E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按支出性质分：</w:t>
            </w:r>
          </w:p>
        </w:tc>
      </w:tr>
      <w:tr w14:paraId="613BF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24F9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F38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其中：  一般公共预算：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2530.05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ADBB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1718.07</w:t>
            </w:r>
          </w:p>
        </w:tc>
      </w:tr>
      <w:tr w14:paraId="61A1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DDC7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36FA">
            <w:pPr>
              <w:spacing w:line="240" w:lineRule="exact"/>
              <w:ind w:firstLine="128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政府性基金拨款：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142.75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B70F6">
            <w:pPr>
              <w:spacing w:line="240" w:lineRule="exact"/>
              <w:ind w:firstLine="9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县级专项资金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855.73</w:t>
            </w:r>
          </w:p>
        </w:tc>
      </w:tr>
      <w:tr w14:paraId="7F1A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22B9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0592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纳入专户管理的非税收入拨款：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B8B3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BCBD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4B2BF7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BC459">
            <w:pPr>
              <w:spacing w:line="240" w:lineRule="exact"/>
              <w:ind w:firstLine="2240" w:firstLineChars="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其他资金：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97F2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450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96EE54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00DB3">
            <w:pPr>
              <w:spacing w:line="240" w:lineRule="exact"/>
              <w:ind w:firstLine="1920" w:firstLineChars="60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C75B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实际完成情况　</w:t>
            </w:r>
          </w:p>
        </w:tc>
      </w:tr>
      <w:tr w14:paraId="7727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B8BD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FA6B2A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2672.80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2172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2672.80</w:t>
            </w:r>
          </w:p>
        </w:tc>
      </w:tr>
      <w:tr w14:paraId="07D81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F0DE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绩</w:t>
            </w:r>
          </w:p>
          <w:p w14:paraId="3FB7A929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</w:t>
            </w:r>
          </w:p>
          <w:p w14:paraId="30656CC7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指</w:t>
            </w:r>
          </w:p>
          <w:p w14:paraId="0EE5892A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标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2520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F9A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442F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64F5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9B3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实际完成值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7ABB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B6AD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A2D9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偏差原因分析及改进措施</w:t>
            </w:r>
          </w:p>
        </w:tc>
      </w:tr>
      <w:tr w14:paraId="6103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CB4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2EDAC5F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产出指标</w:t>
            </w:r>
          </w:p>
          <w:p w14:paraId="682479A0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(50分)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DBCC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E91F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周旺中学改造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6989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7EC2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C860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E6A5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E03E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66E0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4C2E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F20FBC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1F3D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8D73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完成基础建设项目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5462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45FB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B4D2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4D1D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BA61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0CE6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9D96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48A5F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592D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E6EF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完成民生资金发放金额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202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0F9A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3个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862FC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BE8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0A6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065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02EF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237DD9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5C39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B46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预算任务完率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1A9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=100%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DDD6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CD89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535EE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5D7E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70E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D74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936EF0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F7B0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6CDD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基础设施验收合格率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78FD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DB064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13AC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BC2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4FE1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1AF9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352E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854DB5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E860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1716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民生资金保障率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47372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9115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1CB2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97A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CA67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DA1C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991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EF785B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0F7F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F4F3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在会计年度完成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37BE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CB6B5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50A0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034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3F1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EA13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F5C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83756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8B01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66A5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工程验收及时率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1C926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0237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8EFC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B4C6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722A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3D659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213D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E02E4C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9161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19BA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民生资金拨付及时率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BE23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80C4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B74D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C52E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F72F5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09B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8608E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6E662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D4CF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4691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部门预算金额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8FD9F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2672.79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3EE3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2672.79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CA28">
            <w:pPr>
              <w:tabs>
                <w:tab w:val="center" w:pos="109"/>
              </w:tabs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C147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F2BC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661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081C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61F4DC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81F9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3CDA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周旺中学改造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5D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D5A0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6B8E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E3E1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47B1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66C7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8906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F472DB">
            <w:pPr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效益指标</w:t>
            </w:r>
          </w:p>
          <w:p w14:paraId="47C260AE">
            <w:pPr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（30分）</w:t>
            </w:r>
          </w:p>
        </w:tc>
        <w:tc>
          <w:tcPr>
            <w:tcW w:w="649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3171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6DF8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完成烤烟种植面积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9B53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1200亩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0DB3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1200亩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0E24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9F27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5083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9EF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10C51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189B3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4303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社会</w:t>
            </w:r>
          </w:p>
          <w:p w14:paraId="496458F6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效益</w:t>
            </w:r>
          </w:p>
          <w:p w14:paraId="58C03D17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3697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提升周旺中学教学条件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607B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提升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BB04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提升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A9B6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3385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646E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14F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42E8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20B52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0119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生态效益指标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9688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完成美丽庭院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370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B809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500个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08BD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A194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0F109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282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F92A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727FD59">
            <w:pPr>
              <w:spacing w:line="24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满意度指标（10分）</w:t>
            </w:r>
          </w:p>
        </w:tc>
        <w:tc>
          <w:tcPr>
            <w:tcW w:w="649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65F1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服务</w:t>
            </w:r>
          </w:p>
          <w:p w14:paraId="028F4D8E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对象</w:t>
            </w:r>
          </w:p>
          <w:p w14:paraId="35EDF64E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满意度</w:t>
            </w:r>
          </w:p>
          <w:p w14:paraId="28C73EB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C309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人民群众满意率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016F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&gt;90%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7B65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95%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7FAA">
            <w:pPr>
              <w:spacing w:line="240" w:lineRule="exact"/>
              <w:ind w:firstLine="36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FBB9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D6F9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664D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4B012D">
            <w:pPr>
              <w:spacing w:line="240" w:lineRule="exact"/>
              <w:ind w:firstLine="36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84D6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EF8F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07EA0">
            <w:pPr>
              <w:spacing w:line="240" w:lineRule="exact"/>
              <w:ind w:firstLine="3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29F62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026BC1D"/>
    <w:multiLevelType w:val="singleLevel"/>
    <w:tmpl w:val="C026BC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8AAEBBF"/>
    <w:multiLevelType w:val="singleLevel"/>
    <w:tmpl w:val="D8AAEB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5E98FA"/>
    <w:multiLevelType w:val="singleLevel"/>
    <w:tmpl w:val="E75E98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E0834D"/>
    <w:multiLevelType w:val="singleLevel"/>
    <w:tmpl w:val="58E0834D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c2NzJkOTM0NWQ0YmRiNjk2NWY5NjEyY2U5OWMifQ=="/>
  </w:docVars>
  <w:rsids>
    <w:rsidRoot w:val="00000000"/>
    <w:rsid w:val="3BD556E9"/>
    <w:rsid w:val="6C1F2006"/>
    <w:rsid w:val="6E395B4F"/>
    <w:rsid w:val="710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3892</Words>
  <Characters>4323</Characters>
  <Lines>0</Lines>
  <Paragraphs>0</Paragraphs>
  <TotalTime>0</TotalTime>
  <ScaleCrop>false</ScaleCrop>
  <LinksUpToDate>false</LinksUpToDate>
  <CharactersWithSpaces>4417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2024-11-04T01:09:00Z</dcterms:created>
  <dc:creator>Administrator.pc-201712171005</dc:creator>
  <cp:lastModifiedBy>随风而起</cp:lastModifiedBy>
  <dcterms:modified xsi:type="dcterms:W3CDTF">2024-12-06T03:21:19Z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DD58C6AB22664926A42CBB1B7FD580AB_12</vt:lpwstr>
  </property>
</Properties>
</file>