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886A0">
      <w:pPr>
        <w:spacing w:line="560" w:lineRule="exact"/>
        <w:rPr>
          <w:rFonts w:hint="eastAsia" w:ascii="仿宋" w:hAnsi="仿宋" w:eastAsia="仿宋" w:cs="仿宋"/>
          <w:kern w:val="0"/>
          <w:sz w:val="24"/>
          <w:lang w:val="en-US" w:eastAsia="zh-CN"/>
        </w:rPr>
      </w:pPr>
      <w:r>
        <w:rPr>
          <w:rFonts w:hint="eastAsia" w:ascii="仿宋" w:hAnsi="仿宋" w:eastAsia="仿宋" w:cs="仿宋"/>
          <w:kern w:val="0"/>
          <w:sz w:val="24"/>
        </w:rPr>
        <w:t>附件</w:t>
      </w:r>
      <w:r>
        <w:rPr>
          <w:rFonts w:hint="eastAsia" w:ascii="仿宋" w:hAnsi="仿宋" w:eastAsia="仿宋" w:cs="仿宋"/>
          <w:kern w:val="0"/>
          <w:sz w:val="24"/>
          <w:lang w:val="en-US" w:eastAsia="zh-CN"/>
        </w:rPr>
        <w:t>2</w:t>
      </w:r>
    </w:p>
    <w:p w14:paraId="43CE3FC0">
      <w:pPr>
        <w:spacing w:line="600" w:lineRule="exact"/>
        <w:jc w:val="center"/>
        <w:rPr>
          <w:rFonts w:ascii="方正大标宋简体" w:hAnsi="方正大标宋简体" w:eastAsia="方正大标宋简体" w:cs="方正大标宋简体"/>
          <w:bCs/>
          <w:kern w:val="0"/>
          <w:sz w:val="44"/>
          <w:szCs w:val="44"/>
        </w:rPr>
      </w:pPr>
      <w:r>
        <w:rPr>
          <w:rFonts w:hint="eastAsia" w:ascii="方正大标宋简体" w:hAnsi="方正大标宋简体" w:eastAsia="方正大标宋简体" w:cs="方正大标宋简体"/>
          <w:bCs/>
          <w:kern w:val="0"/>
          <w:sz w:val="44"/>
          <w:szCs w:val="44"/>
        </w:rPr>
        <w:t>部门整体支出绩效自评报告</w:t>
      </w:r>
    </w:p>
    <w:p w14:paraId="59458784">
      <w:pPr>
        <w:jc w:val="center"/>
        <w:rPr>
          <w:rFonts w:ascii="楷体" w:hAnsi="楷体" w:eastAsia="楷体" w:cs="楷体"/>
          <w:b/>
          <w:bCs/>
          <w:sz w:val="32"/>
          <w:szCs w:val="32"/>
        </w:rPr>
      </w:pPr>
      <w:r>
        <w:rPr>
          <w:rFonts w:hint="eastAsia" w:ascii="楷体" w:hAnsi="楷体" w:eastAsia="楷体" w:cs="楷体"/>
          <w:b/>
          <w:bCs/>
          <w:sz w:val="32"/>
          <w:szCs w:val="32"/>
        </w:rPr>
        <w:t>（202</w:t>
      </w:r>
      <w:r>
        <w:rPr>
          <w:rFonts w:hint="eastAsia" w:ascii="楷体" w:hAnsi="楷体" w:eastAsia="楷体" w:cs="楷体"/>
          <w:b/>
          <w:bCs/>
          <w:sz w:val="32"/>
          <w:szCs w:val="32"/>
          <w:lang w:val="en-US" w:eastAsia="zh-CN"/>
        </w:rPr>
        <w:t>4</w:t>
      </w:r>
      <w:r>
        <w:rPr>
          <w:rFonts w:hint="eastAsia" w:ascii="楷体" w:hAnsi="楷体" w:eastAsia="楷体" w:cs="楷体"/>
          <w:b/>
          <w:bCs/>
          <w:sz w:val="32"/>
          <w:szCs w:val="32"/>
        </w:rPr>
        <w:t>年度）</w:t>
      </w:r>
    </w:p>
    <w:p w14:paraId="73BBEC20">
      <w:pPr>
        <w:ind w:firstLine="420" w:firstLineChars="200"/>
        <w:rPr>
          <w:rFonts w:ascii="仿宋" w:hAnsi="仿宋" w:eastAsia="仿宋" w:cs="仿宋"/>
        </w:rPr>
      </w:pPr>
    </w:p>
    <w:p w14:paraId="007BC50A">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一、部门概况</w:t>
      </w:r>
    </w:p>
    <w:p w14:paraId="265C2363">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（一）部门基本情况</w:t>
      </w:r>
    </w:p>
    <w:p w14:paraId="7CB5ADA7">
      <w:pPr>
        <w:keepNext w:val="0"/>
        <w:keepLines w:val="0"/>
        <w:pageBreakBefore w:val="0"/>
        <w:widowControl w:val="0"/>
        <w:kinsoku/>
        <w:wordWrap/>
        <w:overflowPunct/>
        <w:topLinePunct w:val="0"/>
        <w:autoSpaceDE w:val="0"/>
        <w:autoSpaceDN w:val="0"/>
        <w:bidi w:val="0"/>
        <w:adjustRightInd w:val="0"/>
        <w:snapToGrid/>
        <w:spacing w:line="520" w:lineRule="exact"/>
        <w:ind w:left="0" w:leftChars="0" w:firstLine="640" w:firstLineChars="200"/>
        <w:jc w:val="left"/>
        <w:textAlignment w:val="auto"/>
        <w:rPr>
          <w:rFonts w:ascii="仿宋" w:hAnsi="仿宋" w:eastAsia="仿宋" w:cs="仿宋"/>
          <w:sz w:val="32"/>
          <w:szCs w:val="32"/>
        </w:rPr>
      </w:pPr>
      <w:r>
        <w:rPr>
          <w:rFonts w:hint="eastAsia" w:ascii="仿宋" w:hAnsi="仿宋" w:eastAsia="仿宋" w:cs="仿宋"/>
          <w:sz w:val="32"/>
          <w:szCs w:val="32"/>
          <w:lang w:eastAsia="zh-CN"/>
        </w:rPr>
        <w:t>周旺</w:t>
      </w:r>
      <w:r>
        <w:rPr>
          <w:rFonts w:hint="eastAsia" w:ascii="仿宋" w:hAnsi="仿宋" w:eastAsia="仿宋" w:cs="仿宋"/>
          <w:sz w:val="32"/>
          <w:szCs w:val="32"/>
        </w:rPr>
        <w:t>镇人民政府为乡镇一级机关单位，</w:t>
      </w:r>
      <w:r>
        <w:rPr>
          <w:rFonts w:hint="eastAsia" w:ascii="仿宋" w:hAnsi="仿宋" w:eastAsia="仿宋" w:cs="仿宋"/>
          <w:sz w:val="32"/>
          <w:szCs w:val="32"/>
          <w:lang w:val="zh-CN" w:eastAsia="zh-CN"/>
        </w:rPr>
        <w:t>周旺镇人民政府内设机构包括：</w:t>
      </w:r>
      <w:r>
        <w:rPr>
          <w:rFonts w:hint="eastAsia" w:ascii="仿宋" w:hAnsi="仿宋" w:eastAsia="仿宋" w:cs="仿宋"/>
          <w:sz w:val="32"/>
          <w:szCs w:val="32"/>
          <w:lang w:val="en-US" w:eastAsia="zh-CN"/>
        </w:rPr>
        <w:t>党政办公室、党建办公室、经济发展办公室、平安法治和应急管理办公室4个内设科室；综合行政执法大队、社会事务综合服务中心、农业综合服务中心、生态事务中心、退役军人服务站5个所属事业单位。</w:t>
      </w:r>
      <w:r>
        <w:rPr>
          <w:rFonts w:hint="eastAsia" w:ascii="仿宋" w:hAnsi="仿宋" w:eastAsia="仿宋" w:cs="仿宋"/>
          <w:sz w:val="32"/>
          <w:szCs w:val="32"/>
          <w:lang w:eastAsia="zh-CN"/>
        </w:rPr>
        <w:t>周旺</w:t>
      </w:r>
      <w:r>
        <w:rPr>
          <w:rFonts w:hint="eastAsia" w:ascii="仿宋" w:hAnsi="仿宋" w:eastAsia="仿宋" w:cs="仿宋"/>
          <w:sz w:val="32"/>
          <w:szCs w:val="32"/>
        </w:rPr>
        <w:t>镇人民政府单位编制人数</w:t>
      </w:r>
      <w:r>
        <w:rPr>
          <w:rFonts w:ascii="仿宋" w:hAnsi="仿宋" w:eastAsia="仿宋" w:cs="仿宋"/>
          <w:sz w:val="32"/>
          <w:szCs w:val="32"/>
        </w:rPr>
        <w:t>86</w:t>
      </w:r>
      <w:r>
        <w:rPr>
          <w:rFonts w:hint="eastAsia" w:ascii="仿宋" w:hAnsi="仿宋" w:eastAsia="仿宋" w:cs="仿宋"/>
          <w:sz w:val="32"/>
          <w:szCs w:val="32"/>
        </w:rPr>
        <w:t>人，实际人数</w:t>
      </w:r>
      <w:r>
        <w:rPr>
          <w:rFonts w:hint="eastAsia" w:ascii="仿宋" w:hAnsi="仿宋" w:eastAsia="仿宋" w:cs="仿宋"/>
          <w:sz w:val="32"/>
          <w:szCs w:val="32"/>
          <w:lang w:val="en-US" w:eastAsia="zh-CN"/>
        </w:rPr>
        <w:t>125</w:t>
      </w:r>
      <w:r>
        <w:rPr>
          <w:rFonts w:hint="eastAsia" w:ascii="仿宋" w:hAnsi="仿宋" w:eastAsia="仿宋" w:cs="仿宋"/>
          <w:sz w:val="32"/>
          <w:szCs w:val="32"/>
        </w:rPr>
        <w:t>人（其中：在职</w:t>
      </w:r>
      <w:r>
        <w:rPr>
          <w:rFonts w:hint="eastAsia" w:ascii="仿宋" w:hAnsi="仿宋" w:eastAsia="仿宋" w:cs="仿宋"/>
          <w:sz w:val="32"/>
          <w:szCs w:val="32"/>
          <w:lang w:val="en-US" w:eastAsia="zh-CN"/>
        </w:rPr>
        <w:t>125</w:t>
      </w:r>
      <w:r>
        <w:rPr>
          <w:rFonts w:hint="eastAsia" w:ascii="仿宋" w:hAnsi="仿宋" w:eastAsia="仿宋" w:cs="仿宋"/>
          <w:sz w:val="32"/>
          <w:szCs w:val="32"/>
        </w:rPr>
        <w:t>人，经营性岗位</w:t>
      </w:r>
      <w:r>
        <w:rPr>
          <w:rFonts w:hint="eastAsia" w:ascii="仿宋" w:hAnsi="仿宋" w:eastAsia="仿宋" w:cs="仿宋"/>
          <w:sz w:val="32"/>
          <w:szCs w:val="32"/>
          <w:lang w:val="en-US" w:eastAsia="zh-CN"/>
        </w:rPr>
        <w:t>4</w:t>
      </w:r>
      <w:r>
        <w:rPr>
          <w:rFonts w:hint="eastAsia" w:ascii="仿宋" w:hAnsi="仿宋" w:eastAsia="仿宋" w:cs="仿宋"/>
          <w:sz w:val="32"/>
          <w:szCs w:val="32"/>
        </w:rPr>
        <w:t>人）遗属补助人数</w:t>
      </w:r>
      <w:r>
        <w:rPr>
          <w:rFonts w:hint="eastAsia" w:ascii="仿宋" w:hAnsi="仿宋" w:eastAsia="仿宋" w:cs="仿宋"/>
          <w:sz w:val="32"/>
          <w:szCs w:val="32"/>
          <w:lang w:val="en-US" w:eastAsia="zh-CN"/>
        </w:rPr>
        <w:t>7</w:t>
      </w:r>
      <w:r>
        <w:rPr>
          <w:rFonts w:hint="eastAsia" w:ascii="仿宋" w:hAnsi="仿宋" w:eastAsia="仿宋" w:cs="仿宋"/>
          <w:sz w:val="32"/>
          <w:szCs w:val="32"/>
        </w:rPr>
        <w:t>人，小车编制数1台，实际1台，房屋面积</w:t>
      </w:r>
      <w:r>
        <w:rPr>
          <w:rFonts w:hint="eastAsia" w:ascii="仿宋" w:hAnsi="仿宋" w:eastAsia="仿宋" w:cs="仿宋"/>
          <w:sz w:val="32"/>
          <w:szCs w:val="32"/>
          <w:lang w:val="en-US" w:eastAsia="zh-CN"/>
        </w:rPr>
        <w:t>6</w:t>
      </w:r>
      <w:r>
        <w:rPr>
          <w:rFonts w:ascii="仿宋" w:hAnsi="仿宋" w:eastAsia="仿宋" w:cs="仿宋"/>
          <w:sz w:val="32"/>
          <w:szCs w:val="32"/>
        </w:rPr>
        <w:t>620</w:t>
      </w:r>
      <w:r>
        <w:rPr>
          <w:rFonts w:hint="eastAsia" w:ascii="仿宋" w:hAnsi="仿宋" w:eastAsia="仿宋" w:cs="仿宋"/>
          <w:sz w:val="32"/>
          <w:szCs w:val="32"/>
        </w:rPr>
        <w:t>平方米。</w:t>
      </w:r>
      <w:bookmarkStart w:id="0" w:name="_GoBack"/>
      <w:bookmarkEnd w:id="0"/>
    </w:p>
    <w:p w14:paraId="640564B1">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2024年</w:t>
      </w:r>
      <w:r>
        <w:rPr>
          <w:rFonts w:hint="eastAsia" w:ascii="仿宋" w:hAnsi="仿宋" w:eastAsia="仿宋" w:cs="仿宋"/>
          <w:sz w:val="32"/>
          <w:szCs w:val="32"/>
        </w:rPr>
        <w:t>的重点工作</w:t>
      </w:r>
    </w:p>
    <w:p w14:paraId="09974E10">
      <w:pPr>
        <w:pStyle w:val="2"/>
        <w:keepNext w:val="0"/>
        <w:keepLines w:val="0"/>
        <w:pageBreakBefore w:val="0"/>
        <w:numPr>
          <w:ilvl w:val="0"/>
          <w:numId w:val="0"/>
        </w:numPr>
        <w:kinsoku/>
        <w:wordWrap/>
        <w:overflowPunct/>
        <w:topLinePunct w:val="0"/>
        <w:autoSpaceDE/>
        <w:bidi w:val="0"/>
        <w:spacing w:beforeAutospacing="0" w:afterAutospacing="0" w:line="560" w:lineRule="exact"/>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kern w:val="2"/>
          <w:sz w:val="32"/>
          <w:szCs w:val="32"/>
          <w:lang w:val="en-US" w:eastAsia="zh-CN" w:bidi="ar-SA"/>
        </w:rPr>
        <w:t>坚持农业农村优先发展，夯实“三农”基础。</w:t>
      </w:r>
    </w:p>
    <w:p w14:paraId="1DE479FA">
      <w:pPr>
        <w:pStyle w:val="2"/>
        <w:keepNext w:val="0"/>
        <w:keepLines w:val="0"/>
        <w:pageBreakBefore w:val="0"/>
        <w:numPr>
          <w:ilvl w:val="0"/>
          <w:numId w:val="0"/>
        </w:numPr>
        <w:kinsoku/>
        <w:wordWrap/>
        <w:overflowPunct/>
        <w:topLinePunct w:val="0"/>
        <w:autoSpaceDE/>
        <w:bidi w:val="0"/>
        <w:spacing w:beforeAutospacing="0" w:afterAutospacing="0" w:line="560" w:lineRule="exact"/>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2、补齐基础设施短板，增强经济发展动力。</w:t>
      </w:r>
    </w:p>
    <w:p w14:paraId="7D669AC6">
      <w:pPr>
        <w:keepNext w:val="0"/>
        <w:keepLines w:val="0"/>
        <w:pageBreakBefore w:val="0"/>
        <w:kinsoku/>
        <w:wordWrap/>
        <w:overflowPunct/>
        <w:topLinePunct w:val="0"/>
        <w:autoSpaceDE/>
        <w:bidi w:val="0"/>
        <w:spacing w:beforeAutospacing="0" w:afterAutospacing="0" w:line="560" w:lineRule="exact"/>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3、聚焦乡村振兴，绘就和美乡村新画卷。</w:t>
      </w:r>
    </w:p>
    <w:p w14:paraId="44146E1D">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baseline"/>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4、加强社会治理，促进社会和谐稳定。</w:t>
      </w:r>
    </w:p>
    <w:p w14:paraId="205847F7">
      <w:pPr>
        <w:keepNext w:val="0"/>
        <w:keepLines w:val="0"/>
        <w:pageBreakBefore w:val="0"/>
        <w:kinsoku/>
        <w:wordWrap/>
        <w:overflowPunct/>
        <w:topLinePunct w:val="0"/>
        <w:autoSpaceDE/>
        <w:bidi w:val="0"/>
        <w:spacing w:beforeAutospacing="0" w:afterAutospacing="0" w:line="560" w:lineRule="exact"/>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5、突出行政效能，全面加强自身建设。</w:t>
      </w:r>
    </w:p>
    <w:p w14:paraId="05AEFBE6">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（三）部门整体支出情况</w:t>
      </w:r>
    </w:p>
    <w:p w14:paraId="7A004FB2">
      <w:pPr>
        <w:pStyle w:val="8"/>
        <w:widowControl/>
        <w:spacing w:before="0" w:beforeAutospacing="0" w:after="0" w:afterAutospacing="0" w:line="500" w:lineRule="exact"/>
        <w:ind w:left="280" w:firstLine="640" w:firstLineChars="200"/>
        <w:jc w:val="both"/>
        <w:rPr>
          <w:rFonts w:ascii="仿宋" w:hAnsi="仿宋" w:eastAsia="仿宋" w:cs="仿宋"/>
          <w:color w:val="333333"/>
          <w:sz w:val="32"/>
          <w:szCs w:val="32"/>
          <w:shd w:val="clear" w:color="auto" w:fill="FFFFFF"/>
        </w:rPr>
      </w:pPr>
      <w:r>
        <w:rPr>
          <w:rFonts w:hint="eastAsia" w:ascii="仿宋" w:hAnsi="仿宋" w:eastAsia="仿宋" w:cs="仿宋"/>
          <w:sz w:val="32"/>
          <w:szCs w:val="32"/>
          <w:shd w:val="clear" w:color="auto" w:fill="FFFFFF"/>
          <w:lang w:eastAsia="zh-CN"/>
        </w:rPr>
        <w:t>2024年</w:t>
      </w:r>
      <w:r>
        <w:rPr>
          <w:rFonts w:hint="eastAsia" w:ascii="仿宋" w:hAnsi="仿宋" w:eastAsia="仿宋" w:cs="仿宋"/>
          <w:sz w:val="32"/>
          <w:szCs w:val="32"/>
          <w:shd w:val="clear" w:color="auto" w:fill="FFFFFF"/>
        </w:rPr>
        <w:t>度</w:t>
      </w:r>
      <w:r>
        <w:rPr>
          <w:rFonts w:hint="eastAsia" w:ascii="仿宋" w:hAnsi="仿宋" w:eastAsia="仿宋" w:cs="仿宋"/>
          <w:color w:val="333333"/>
          <w:sz w:val="32"/>
          <w:szCs w:val="32"/>
          <w:shd w:val="clear" w:color="auto" w:fill="FFFFFF"/>
        </w:rPr>
        <w:t>决算支出为</w:t>
      </w:r>
      <w:r>
        <w:rPr>
          <w:rFonts w:hint="eastAsia" w:ascii="仿宋" w:hAnsi="仿宋" w:eastAsia="仿宋" w:cs="仿宋"/>
          <w:color w:val="333333"/>
          <w:sz w:val="32"/>
          <w:szCs w:val="32"/>
          <w:shd w:val="clear" w:color="auto" w:fill="FFFFFF"/>
          <w:lang w:val="en-US" w:eastAsia="zh-CN"/>
        </w:rPr>
        <w:t>3167.02</w:t>
      </w:r>
      <w:r>
        <w:rPr>
          <w:rFonts w:hint="eastAsia" w:ascii="仿宋" w:hAnsi="仿宋" w:eastAsia="仿宋" w:cs="仿宋"/>
          <w:color w:val="333333"/>
          <w:sz w:val="32"/>
          <w:szCs w:val="32"/>
          <w:shd w:val="clear" w:color="auto" w:fill="FFFFFF"/>
        </w:rPr>
        <w:t>万元，其中：一般公共服务支出</w:t>
      </w:r>
      <w:r>
        <w:rPr>
          <w:rFonts w:hint="eastAsia" w:ascii="仿宋" w:hAnsi="仿宋" w:eastAsia="仿宋" w:cs="仿宋"/>
          <w:color w:val="333333"/>
          <w:sz w:val="32"/>
          <w:szCs w:val="32"/>
          <w:shd w:val="clear" w:color="auto" w:fill="FFFFFF"/>
          <w:lang w:val="en-US" w:eastAsia="zh-CN"/>
        </w:rPr>
        <w:t>1994.02</w:t>
      </w:r>
      <w:r>
        <w:rPr>
          <w:rFonts w:hint="eastAsia" w:ascii="仿宋" w:hAnsi="仿宋" w:eastAsia="仿宋" w:cs="仿宋"/>
          <w:color w:val="333333"/>
          <w:sz w:val="32"/>
          <w:szCs w:val="32"/>
          <w:shd w:val="clear" w:color="auto" w:fill="FFFFFF"/>
        </w:rPr>
        <w:t>万元，</w:t>
      </w:r>
      <w:r>
        <w:rPr>
          <w:rFonts w:hint="eastAsia" w:ascii="仿宋" w:hAnsi="仿宋" w:eastAsia="仿宋" w:cs="仿宋"/>
          <w:color w:val="333333"/>
          <w:sz w:val="32"/>
          <w:szCs w:val="32"/>
          <w:shd w:val="clear" w:color="auto" w:fill="FFFFFF"/>
          <w:lang w:eastAsia="zh-CN"/>
        </w:rPr>
        <w:t>文化旅游体育与传媒支出</w:t>
      </w:r>
      <w:r>
        <w:rPr>
          <w:rFonts w:hint="eastAsia" w:ascii="仿宋" w:hAnsi="仿宋" w:eastAsia="仿宋" w:cs="仿宋"/>
          <w:color w:val="333333"/>
          <w:sz w:val="32"/>
          <w:szCs w:val="32"/>
          <w:shd w:val="clear" w:color="auto" w:fill="FFFFFF"/>
          <w:lang w:val="en-US" w:eastAsia="zh-CN"/>
        </w:rPr>
        <w:t>7万元，</w:t>
      </w:r>
      <w:r>
        <w:rPr>
          <w:rFonts w:hint="eastAsia" w:ascii="仿宋" w:hAnsi="仿宋" w:eastAsia="仿宋" w:cs="仿宋"/>
          <w:color w:val="333333"/>
          <w:sz w:val="32"/>
          <w:szCs w:val="32"/>
          <w:shd w:val="clear" w:color="auto" w:fill="FFFFFF"/>
        </w:rPr>
        <w:t>社会保障与就业支出</w:t>
      </w:r>
      <w:r>
        <w:rPr>
          <w:rFonts w:hint="eastAsia" w:ascii="仿宋" w:hAnsi="仿宋" w:eastAsia="仿宋" w:cs="仿宋"/>
          <w:color w:val="333333"/>
          <w:sz w:val="32"/>
          <w:szCs w:val="32"/>
          <w:shd w:val="clear" w:color="auto" w:fill="FFFFFF"/>
          <w:lang w:val="en-US" w:eastAsia="zh-CN"/>
        </w:rPr>
        <w:t>22.78</w:t>
      </w:r>
      <w:r>
        <w:rPr>
          <w:rFonts w:hint="eastAsia" w:ascii="仿宋" w:hAnsi="仿宋" w:eastAsia="仿宋" w:cs="仿宋"/>
          <w:color w:val="333333"/>
          <w:sz w:val="32"/>
          <w:szCs w:val="32"/>
          <w:shd w:val="clear" w:color="auto" w:fill="FFFFFF"/>
        </w:rPr>
        <w:t>万元，卫生健康支出</w:t>
      </w:r>
      <w:r>
        <w:rPr>
          <w:rFonts w:hint="eastAsia" w:ascii="仿宋" w:hAnsi="仿宋" w:eastAsia="仿宋" w:cs="仿宋"/>
          <w:color w:val="333333"/>
          <w:sz w:val="32"/>
          <w:szCs w:val="32"/>
          <w:shd w:val="clear" w:color="auto" w:fill="FFFFFF"/>
          <w:lang w:val="en-US" w:eastAsia="zh-CN"/>
        </w:rPr>
        <w:t>11.09</w:t>
      </w:r>
      <w:r>
        <w:rPr>
          <w:rFonts w:hint="eastAsia" w:ascii="仿宋" w:hAnsi="仿宋" w:eastAsia="仿宋" w:cs="仿宋"/>
          <w:color w:val="333333"/>
          <w:sz w:val="32"/>
          <w:szCs w:val="32"/>
          <w:shd w:val="clear" w:color="auto" w:fill="FFFFFF"/>
        </w:rPr>
        <w:t>万元，</w:t>
      </w:r>
      <w:r>
        <w:rPr>
          <w:rFonts w:hint="eastAsia" w:ascii="仿宋" w:hAnsi="仿宋" w:eastAsia="仿宋" w:cs="仿宋"/>
          <w:color w:val="333333"/>
          <w:sz w:val="32"/>
          <w:szCs w:val="32"/>
          <w:shd w:val="clear" w:color="auto" w:fill="FFFFFF"/>
          <w:lang w:eastAsia="zh-CN"/>
        </w:rPr>
        <w:t>城乡社区支出</w:t>
      </w:r>
      <w:r>
        <w:rPr>
          <w:rFonts w:hint="eastAsia" w:ascii="仿宋" w:hAnsi="仿宋" w:eastAsia="仿宋" w:cs="仿宋"/>
          <w:color w:val="333333"/>
          <w:sz w:val="32"/>
          <w:szCs w:val="32"/>
          <w:shd w:val="clear" w:color="auto" w:fill="FFFFFF"/>
          <w:lang w:val="en-US" w:eastAsia="zh-CN"/>
        </w:rPr>
        <w:t>159.72万元，</w:t>
      </w:r>
      <w:r>
        <w:rPr>
          <w:rFonts w:hint="eastAsia" w:ascii="仿宋" w:hAnsi="仿宋" w:eastAsia="仿宋" w:cs="仿宋"/>
          <w:color w:val="333333"/>
          <w:sz w:val="32"/>
          <w:szCs w:val="32"/>
          <w:shd w:val="clear" w:color="auto" w:fill="FFFFFF"/>
        </w:rPr>
        <w:t>农林水支出</w:t>
      </w:r>
      <w:r>
        <w:rPr>
          <w:rFonts w:hint="eastAsia" w:ascii="仿宋" w:hAnsi="仿宋" w:eastAsia="仿宋" w:cs="仿宋"/>
          <w:color w:val="333333"/>
          <w:sz w:val="32"/>
          <w:szCs w:val="32"/>
          <w:shd w:val="clear" w:color="auto" w:fill="FFFFFF"/>
          <w:lang w:val="en-US" w:eastAsia="zh-CN"/>
        </w:rPr>
        <w:t>427.87</w:t>
      </w:r>
      <w:r>
        <w:rPr>
          <w:rFonts w:hint="eastAsia" w:ascii="仿宋" w:hAnsi="仿宋" w:eastAsia="仿宋" w:cs="仿宋"/>
          <w:color w:val="333333"/>
          <w:sz w:val="32"/>
          <w:szCs w:val="32"/>
          <w:shd w:val="clear" w:color="auto" w:fill="FFFFFF"/>
        </w:rPr>
        <w:t>万元，</w:t>
      </w:r>
      <w:r>
        <w:rPr>
          <w:rFonts w:hint="eastAsia" w:ascii="仿宋" w:hAnsi="仿宋" w:eastAsia="仿宋" w:cs="仿宋"/>
          <w:color w:val="333333"/>
          <w:sz w:val="32"/>
          <w:szCs w:val="32"/>
          <w:shd w:val="clear" w:color="auto" w:fill="FFFFFF"/>
          <w:lang w:eastAsia="zh-CN"/>
        </w:rPr>
        <w:t>交通运输支出</w:t>
      </w:r>
      <w:r>
        <w:rPr>
          <w:rFonts w:hint="eastAsia" w:ascii="仿宋" w:hAnsi="仿宋" w:eastAsia="仿宋" w:cs="仿宋"/>
          <w:color w:val="333333"/>
          <w:sz w:val="32"/>
          <w:szCs w:val="32"/>
          <w:shd w:val="clear" w:color="auto" w:fill="FFFFFF"/>
          <w:lang w:val="en-US" w:eastAsia="zh-CN"/>
        </w:rPr>
        <w:t>6万元，</w:t>
      </w:r>
      <w:r>
        <w:rPr>
          <w:rFonts w:hint="eastAsia" w:ascii="仿宋" w:hAnsi="仿宋" w:eastAsia="仿宋" w:cs="仿宋"/>
          <w:color w:val="333333"/>
          <w:sz w:val="32"/>
          <w:szCs w:val="32"/>
          <w:shd w:val="clear" w:color="auto" w:fill="FFFFFF"/>
        </w:rPr>
        <w:t>其他支出</w:t>
      </w:r>
      <w:r>
        <w:rPr>
          <w:rFonts w:hint="eastAsia" w:ascii="仿宋" w:hAnsi="仿宋" w:eastAsia="仿宋" w:cs="仿宋"/>
          <w:color w:val="333333"/>
          <w:sz w:val="32"/>
          <w:szCs w:val="32"/>
          <w:shd w:val="clear" w:color="auto" w:fill="FFFFFF"/>
          <w:lang w:val="en-US" w:eastAsia="zh-CN"/>
        </w:rPr>
        <w:t>538.53</w:t>
      </w:r>
      <w:r>
        <w:rPr>
          <w:rFonts w:hint="eastAsia" w:ascii="仿宋" w:hAnsi="仿宋" w:eastAsia="仿宋" w:cs="仿宋"/>
          <w:color w:val="333333"/>
          <w:sz w:val="32"/>
          <w:szCs w:val="32"/>
          <w:shd w:val="clear" w:color="auto" w:fill="FFFFFF"/>
        </w:rPr>
        <w:t>万元。</w:t>
      </w:r>
    </w:p>
    <w:p w14:paraId="63886529">
      <w:pPr>
        <w:pStyle w:val="2"/>
        <w:spacing w:line="500" w:lineRule="exact"/>
        <w:ind w:firstLine="640"/>
        <w:rPr>
          <w:rFonts w:ascii="仿宋" w:hAnsi="仿宋" w:eastAsia="仿宋" w:cs="仿宋"/>
        </w:rPr>
      </w:pPr>
    </w:p>
    <w:p w14:paraId="5D063BD8">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二、部门整体支出管理及使用情况</w:t>
      </w:r>
    </w:p>
    <w:p w14:paraId="012A99B5">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（一）基本支出情况</w:t>
      </w:r>
    </w:p>
    <w:p w14:paraId="56450D19">
      <w:pPr>
        <w:pStyle w:val="2"/>
        <w:spacing w:line="500" w:lineRule="exact"/>
        <w:ind w:firstLine="640"/>
        <w:rPr>
          <w:rFonts w:ascii="仿宋" w:hAnsi="仿宋" w:eastAsia="仿宋" w:cs="仿宋"/>
        </w:rPr>
      </w:pPr>
      <w:r>
        <w:rPr>
          <w:rFonts w:hint="eastAsia" w:ascii="仿宋" w:hAnsi="仿宋" w:eastAsia="仿宋" w:cs="仿宋"/>
          <w:color w:val="333333"/>
          <w:szCs w:val="32"/>
          <w:shd w:val="clear" w:color="auto" w:fill="FFFFFF"/>
          <w:lang w:eastAsia="zh-CN"/>
        </w:rPr>
        <w:t>2024年</w:t>
      </w:r>
      <w:r>
        <w:rPr>
          <w:rFonts w:hint="eastAsia" w:ascii="仿宋" w:hAnsi="仿宋" w:eastAsia="仿宋" w:cs="仿宋"/>
          <w:color w:val="333333"/>
          <w:szCs w:val="32"/>
          <w:shd w:val="clear" w:color="auto" w:fill="FFFFFF"/>
        </w:rPr>
        <w:t>度决算数为</w:t>
      </w:r>
      <w:r>
        <w:rPr>
          <w:rFonts w:hint="eastAsia" w:ascii="仿宋" w:hAnsi="仿宋" w:eastAsia="仿宋" w:cs="仿宋"/>
          <w:color w:val="333333"/>
          <w:szCs w:val="32"/>
          <w:shd w:val="clear" w:color="auto" w:fill="FFFFFF"/>
          <w:lang w:val="en-US" w:eastAsia="zh-CN"/>
        </w:rPr>
        <w:t>1934.32</w:t>
      </w:r>
      <w:r>
        <w:rPr>
          <w:rFonts w:hint="eastAsia" w:ascii="仿宋" w:hAnsi="仿宋" w:eastAsia="仿宋" w:cs="仿宋"/>
          <w:color w:val="333333"/>
          <w:szCs w:val="32"/>
          <w:shd w:val="clear" w:color="auto" w:fill="FFFFFF"/>
        </w:rPr>
        <w:t>万元，其中：人员经费</w:t>
      </w:r>
      <w:r>
        <w:rPr>
          <w:rFonts w:hint="eastAsia" w:ascii="仿宋" w:hAnsi="仿宋" w:eastAsia="仿宋" w:cs="仿宋"/>
          <w:color w:val="333333"/>
          <w:szCs w:val="32"/>
          <w:shd w:val="clear" w:color="auto" w:fill="FFFFFF"/>
          <w:lang w:val="en-US" w:eastAsia="zh-CN"/>
        </w:rPr>
        <w:t>1698.61</w:t>
      </w:r>
      <w:r>
        <w:rPr>
          <w:rFonts w:hint="eastAsia" w:ascii="仿宋" w:hAnsi="仿宋" w:eastAsia="仿宋" w:cs="仿宋"/>
          <w:color w:val="333333"/>
          <w:szCs w:val="32"/>
          <w:shd w:val="clear" w:color="auto" w:fill="FFFFFF"/>
        </w:rPr>
        <w:t>万元，日常公用经费</w:t>
      </w:r>
      <w:r>
        <w:rPr>
          <w:rFonts w:hint="eastAsia" w:ascii="仿宋" w:hAnsi="仿宋" w:eastAsia="仿宋" w:cs="仿宋"/>
          <w:color w:val="333333"/>
          <w:szCs w:val="32"/>
          <w:shd w:val="clear" w:color="auto" w:fill="FFFFFF"/>
          <w:lang w:val="en-US" w:eastAsia="zh-CN"/>
        </w:rPr>
        <w:t>235.71</w:t>
      </w:r>
      <w:r>
        <w:rPr>
          <w:rFonts w:hint="eastAsia" w:ascii="仿宋" w:hAnsi="仿宋" w:eastAsia="仿宋" w:cs="仿宋"/>
          <w:color w:val="333333"/>
          <w:szCs w:val="32"/>
          <w:shd w:val="clear" w:color="auto" w:fill="FFFFFF"/>
        </w:rPr>
        <w:t>万元。是指为保障单位机构正常运转、完成日常工作任务而发生的各项支出以及对村民委员会和村党支部的补助支出，包括用于基本工资、津贴补贴等人员经费以及办公费、印刷费、水电费及办公设备购置等日常公用经费和村级运转经费。</w:t>
      </w:r>
    </w:p>
    <w:p w14:paraId="11D76D50">
      <w:pPr>
        <w:numPr>
          <w:ilvl w:val="0"/>
          <w:numId w:val="0"/>
        </w:num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“三公”经费情况</w:t>
      </w:r>
    </w:p>
    <w:p w14:paraId="79AF0EA2">
      <w:pPr>
        <w:spacing w:line="50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1.因公出国（境）费用0元；</w:t>
      </w:r>
    </w:p>
    <w:p w14:paraId="66D64B08">
      <w:pPr>
        <w:spacing w:line="500" w:lineRule="exact"/>
        <w:ind w:firstLine="640" w:firstLineChars="200"/>
        <w:rPr>
          <w:rFonts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2.公务接待费</w:t>
      </w:r>
      <w:r>
        <w:rPr>
          <w:rFonts w:hint="eastAsia" w:ascii="仿宋" w:hAnsi="仿宋" w:eastAsia="仿宋" w:cs="仿宋"/>
          <w:color w:val="333333"/>
          <w:sz w:val="32"/>
          <w:szCs w:val="32"/>
          <w:shd w:val="clear" w:color="auto" w:fill="FFFFFF"/>
          <w:lang w:val="en-US" w:eastAsia="zh-CN"/>
        </w:rPr>
        <w:t>3.8</w:t>
      </w:r>
      <w:r>
        <w:rPr>
          <w:rFonts w:hint="eastAsia" w:ascii="仿宋" w:hAnsi="仿宋" w:eastAsia="仿宋" w:cs="仿宋"/>
          <w:color w:val="333333"/>
          <w:sz w:val="32"/>
          <w:szCs w:val="32"/>
          <w:shd w:val="clear" w:color="auto" w:fill="FFFFFF"/>
        </w:rPr>
        <w:t>万元；</w:t>
      </w:r>
    </w:p>
    <w:p w14:paraId="6DA197EC">
      <w:pPr>
        <w:pStyle w:val="8"/>
        <w:widowControl/>
        <w:spacing w:before="0" w:beforeAutospacing="0" w:after="0" w:afterAutospacing="0" w:line="500" w:lineRule="exact"/>
        <w:ind w:firstLine="640" w:firstLineChars="200"/>
        <w:jc w:val="both"/>
        <w:rPr>
          <w:rFonts w:ascii="仿宋" w:hAnsi="仿宋" w:eastAsia="仿宋" w:cs="仿宋"/>
          <w:color w:val="333333"/>
          <w:kern w:val="2"/>
          <w:sz w:val="32"/>
          <w:szCs w:val="32"/>
          <w:shd w:val="clear" w:color="auto" w:fill="FFFFFF"/>
        </w:rPr>
      </w:pPr>
      <w:r>
        <w:rPr>
          <w:rFonts w:hint="eastAsia" w:ascii="仿宋" w:hAnsi="仿宋" w:eastAsia="仿宋" w:cs="仿宋"/>
          <w:color w:val="333333"/>
          <w:kern w:val="2"/>
          <w:sz w:val="32"/>
          <w:szCs w:val="32"/>
          <w:shd w:val="clear" w:color="auto" w:fill="FFFFFF"/>
        </w:rPr>
        <w:t>3.公务用车购置及运行费</w:t>
      </w:r>
      <w:r>
        <w:rPr>
          <w:rFonts w:hint="eastAsia" w:ascii="仿宋" w:hAnsi="仿宋" w:eastAsia="仿宋" w:cs="仿宋"/>
          <w:color w:val="333333"/>
          <w:kern w:val="2"/>
          <w:sz w:val="32"/>
          <w:szCs w:val="32"/>
          <w:shd w:val="clear" w:color="auto" w:fill="FFFFFF"/>
          <w:lang w:val="en-US" w:eastAsia="zh-CN"/>
        </w:rPr>
        <w:t>2.8万</w:t>
      </w:r>
      <w:r>
        <w:rPr>
          <w:rFonts w:hint="eastAsia" w:ascii="仿宋" w:hAnsi="仿宋" w:eastAsia="仿宋" w:cs="仿宋"/>
          <w:color w:val="333333"/>
          <w:kern w:val="2"/>
          <w:sz w:val="32"/>
          <w:szCs w:val="32"/>
          <w:shd w:val="clear" w:color="auto" w:fill="FFFFFF"/>
        </w:rPr>
        <w:t>（公务用车运行维护费</w:t>
      </w:r>
      <w:r>
        <w:rPr>
          <w:rFonts w:hint="eastAsia" w:ascii="仿宋" w:hAnsi="仿宋" w:eastAsia="仿宋" w:cs="仿宋"/>
          <w:color w:val="333333"/>
          <w:kern w:val="2"/>
          <w:sz w:val="32"/>
          <w:szCs w:val="32"/>
          <w:shd w:val="clear" w:color="auto" w:fill="FFFFFF"/>
          <w:lang w:val="en-US" w:eastAsia="zh-CN"/>
        </w:rPr>
        <w:t>2.8</w:t>
      </w:r>
      <w:r>
        <w:rPr>
          <w:rFonts w:hint="eastAsia" w:ascii="仿宋" w:hAnsi="仿宋" w:eastAsia="仿宋" w:cs="仿宋"/>
          <w:color w:val="333333"/>
          <w:kern w:val="2"/>
          <w:sz w:val="32"/>
          <w:szCs w:val="32"/>
          <w:shd w:val="clear" w:color="auto" w:fill="FFFFFF"/>
        </w:rPr>
        <w:t>万元，公务用车购置费 0 元）。</w:t>
      </w:r>
    </w:p>
    <w:p w14:paraId="3507F97F">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三、部门整体支出绩效情况</w:t>
      </w:r>
    </w:p>
    <w:p w14:paraId="2F7E5237">
      <w:pPr>
        <w:spacing w:line="50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2024年是巩固主题教育成果、推动高质量发展见行见效的重要一年，也是实施“十四五”规划提质提速、中程发力的关键之年。</w:t>
      </w:r>
    </w:p>
    <w:p w14:paraId="3BBC6525">
      <w:pPr>
        <w:spacing w:line="50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1、坚持农业农村优先发展，夯实“三农”基础，坚守耕地红线。积极开展耕地流出图斑整治、卫片巡查违法图斑整改工作，增加耕地保有量。坚决遏制耕地抛荒，在5月份之前实现清零。积极推进恢复耕地工作，完成恢复耕地任务540亩。扛牢粮食安全责任，深入实施优质粮食工程，推全年粮食播种面积稳定在3.49万亩,粮食总产量稳定在1.67万吨以上，粮食产量只增不减，让“压舱石”作用更实。全力发展双季稻生产，推进早稻集中育秧，重点在沪昆高速、320国道、周滩公路沿线打造千亩示范片3个，力争在全镇17个村（社区）分别打造百亩示范片。</w:t>
      </w:r>
    </w:p>
    <w:p w14:paraId="1AE0F747">
      <w:pPr>
        <w:spacing w:line="50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2、补齐基础设施短板，增强经济发展动力，积极推进项目建设。推进供电配网提质攻坚三年行动，完成江口村110千伏周旺输变电扩容改造工程。全面实施“路长制”，加强我镇的产业路、旅游路建设，加快推进接通“断头路”。推进城乡客运一体化示范县创建，配合交通部门实施农村公路修复性、预防性养护工程、安防设施工程。配合住建部门完成周旺镇污水处理厂入户管网建设工程和天然气管网建设。推进水利项目建设，打造完成标准化“一库一景”梅亭水库样板库建设，完成石山湾、淡头冲、峡冲水库除险加固项目，按时完成山塘清淤项目。支持5G、物联网等新基建向农村延伸，推进4G/5G基站全覆盖建设。积极开展亮化工程，完成城区范围内损坏路灯的升级改造。</w:t>
      </w:r>
    </w:p>
    <w:p w14:paraId="48F8956A">
      <w:pPr>
        <w:spacing w:line="500" w:lineRule="exact"/>
        <w:ind w:firstLine="640" w:firstLineChars="200"/>
        <w:rPr>
          <w:rFonts w:hint="default"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3、聚焦乡村振兴，绘就和美乡村新画卷。学习运用千村示范、万村整治工程经验，打好乡村全面振兴漂亮仗。夯实乡村振兴基础。运行好“三网三员三色”监测帮扶机制，动态调整三色人员台账，发现风险及时纳入、及时帮扶，符合风险消除的及时走程序消除风险，做到“有进有出”。2024年我镇7个项目资金120.96万，紧抓项目施工，保证资金支付进度。及时清理小额信贷到期数据，确保不出现逾期现象。加强对村级乡村振兴日常工作考核，将工作抓牢在平时。进一步巩固提升“三保障”和饮水安全水平，落实控辍保学、大病救助、医保参保分类资助等政策，落实产业帮扶和就业帮扶机制，确保脱贫人口务工人口稳定务工不低于1587人。持续推进人居环境整治。高标准编制“多规合一”村庄规划。持续开展农村人居环境整治提质年行动，推进“厕所革命”，落实临街店铺、院落“门前三包”，城区实现常态化保洁，以“六建”为建设标准，每个村（社区）要创建2个美丽屋场，人居环境卫生整治工作要迈入全县先进乡镇行列。积极推进厕所革命、空心房整治，最大限度消除农村旱厕、空心房，确保问题厕所整改清零。</w:t>
      </w:r>
    </w:p>
    <w:p w14:paraId="2BD9A8F5">
      <w:pPr>
        <w:spacing w:line="50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4、加强社会治理，促进社会和谐稳定，提升社会治理能力。坚持党政同责、一岗双责，层层传导压力，扎实推进常态化扫黑除恶、禁毒、反电诈、“利剑护蕾”等社会治理重点工作攻坚行动，有效净化社会面治安环境。坚持和发展新时代“枫桥经验”，深化“四下基层”活动，推进信访问题源头治理三年攻坚行动，积极创建信访工作先进乡镇。深入推进“敲门行动”，加大对法律法规、安全常识的宣传，加强警示教育，做到防微杜渐。用心做好民族宗教工作，筑牢中华民族共同体意识。进一步推动“片组邻”三长制工作有序开展，切实解决基层治理难入微、难匹配、难动员的“末销困境”，畅通基层治理“最后一米”。实施文体创新惠民行动，严格落实意识形态工作责任制，以“文化+”为引领，激活发展动能，挖掘本土优秀传统文化，充分利用周旺“宝庆望星楼”公众号宣传周旺特色文化，支持17个村（社区）办好“欢乐潇湘”、“四季村晚”等大型晚会，凝聚周旺高质量发展的强大精神力量。发挥村民自治作用，深化移风易俗，推动乡风文明换发新气象。支持工会、共青团、妇联、红十字会等群团组织和社会组织更好发挥作用。</w:t>
      </w:r>
    </w:p>
    <w:p w14:paraId="047E9869">
      <w:pPr>
        <w:spacing w:line="50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5、突出行政效能，全面加强自身建设。坚持真抓实干，完善镇村干部管理量化考核机制，充分发挥考核指挥棒作用，把求真务实的导向立起来，把真抓实干的规矩严起来，逐级传导压力、层层压实责任，细化工作措施，做到责任到岗、责任到人，切实推动干部队伍能力作风转变，全面提升行政效能。</w:t>
      </w:r>
      <w:r>
        <w:rPr>
          <w:rFonts w:hint="default" w:ascii="仿宋" w:hAnsi="仿宋" w:eastAsia="仿宋" w:cs="仿宋"/>
          <w:sz w:val="32"/>
          <w:szCs w:val="32"/>
          <w:shd w:val="clear" w:color="auto" w:fill="FFFFFF"/>
          <w:lang w:val="en-US" w:eastAsia="zh-CN"/>
        </w:rPr>
        <w:t>坚持清正廉洁</w:t>
      </w:r>
      <w:r>
        <w:rPr>
          <w:rFonts w:hint="eastAsia" w:ascii="仿宋" w:hAnsi="仿宋" w:eastAsia="仿宋" w:cs="仿宋"/>
          <w:sz w:val="32"/>
          <w:szCs w:val="32"/>
          <w:shd w:val="clear" w:color="auto" w:fill="FFFFFF"/>
          <w:lang w:val="en-US" w:eastAsia="zh-CN"/>
        </w:rPr>
        <w:t>，坚持把纪律规矩挺在前面，以严的标准、严的措施抓好清廉政府建设。深入落实中央八项规定精神，坚决纠治形式主义、官僚主义，深化精文简会，规范考核检查。树牢习惯过“紧日子”思想，把有限的资金用在发展紧要处、用在老百姓身上。深入开展“三湘护农”行动，坚决惩治群众身边腐败问题，以全面从严治党新成效引领保障高质量发展。</w:t>
      </w:r>
    </w:p>
    <w:p w14:paraId="6C2F40F0">
      <w:pPr>
        <w:pStyle w:val="2"/>
        <w:rPr>
          <w:rFonts w:hint="eastAsia"/>
          <w:lang w:val="en-US" w:eastAsia="zh-CN"/>
        </w:rPr>
      </w:pPr>
    </w:p>
    <w:p w14:paraId="1D14B0BB">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四、存在的问题</w:t>
      </w:r>
    </w:p>
    <w:p w14:paraId="22D357B9">
      <w:pPr>
        <w:spacing w:line="50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1、预算编制金额过于细化使得付款效率降低。</w:t>
      </w:r>
    </w:p>
    <w:p w14:paraId="473D7C5A">
      <w:pPr>
        <w:spacing w:line="50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2、按定额标准编制的公用经费,导致部分经费安排不足,如日常维护维修、差旅费、印刷费等导致的增长部分,导致预决算执行产生差异。</w:t>
      </w:r>
    </w:p>
    <w:p w14:paraId="2E35AF84">
      <w:pPr>
        <w:pStyle w:val="2"/>
        <w:spacing w:line="500" w:lineRule="exact"/>
        <w:ind w:firstLine="320" w:firstLineChars="100"/>
        <w:rPr>
          <w:rFonts w:ascii="仿宋" w:hAnsi="仿宋" w:eastAsia="仿宋" w:cs="仿宋"/>
        </w:rPr>
      </w:pPr>
    </w:p>
    <w:p w14:paraId="580B81B0">
      <w:pPr>
        <w:spacing w:line="500" w:lineRule="exact"/>
        <w:rPr>
          <w:rFonts w:ascii="仿宋" w:hAnsi="仿宋" w:eastAsia="仿宋" w:cs="仿宋"/>
          <w:sz w:val="32"/>
          <w:szCs w:val="32"/>
        </w:rPr>
      </w:pPr>
      <w:r>
        <w:rPr>
          <w:rFonts w:hint="eastAsia" w:ascii="仿宋" w:hAnsi="仿宋" w:eastAsia="仿宋" w:cs="仿宋"/>
          <w:sz w:val="32"/>
          <w:szCs w:val="32"/>
        </w:rPr>
        <w:t>五、改进措施和有关建议</w:t>
      </w:r>
    </w:p>
    <w:p w14:paraId="65D707AA">
      <w:pPr>
        <w:spacing w:line="500" w:lineRule="exac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1、加强财务管理，严格财务审核。加强单位财务管理，在费用报账支付时，按照预算规定的费用项目和用途进行资金使用审核、列报支付、财务核算，杜绝超支现象的发生。</w:t>
      </w:r>
    </w:p>
    <w:p w14:paraId="3190CC8B">
      <w:pPr>
        <w:spacing w:line="500" w:lineRule="exac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2、完善资产管理。规范各类资产的购置审批、采购、使用管理、处置和报废、管理岗位职责等制度，加强单位内部的资产管理工作。加强固定资产管理，建议聘请第三方公司进行专业的全面盘查清点，便于后续更规范管理。 </w:t>
      </w:r>
    </w:p>
    <w:p w14:paraId="7F0222B5">
      <w:pPr>
        <w:spacing w:line="500" w:lineRule="exac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3、增加预算。增加信访维稳工作经费、环境卫生整治专项经费、乡村振兴工作等经费。</w:t>
      </w:r>
    </w:p>
    <w:p w14:paraId="6288461D">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rPr>
        <w:t>4、加强人员培训。加强财务工作人员业务培训，提高工作人员的专业能力和水平，推动财务管理以及绩效工作全面发展。</w:t>
      </w:r>
    </w:p>
    <w:p w14:paraId="7DB7A24A">
      <w:pPr>
        <w:pStyle w:val="8"/>
        <w:widowControl/>
        <w:spacing w:before="0" w:beforeAutospacing="0" w:after="0" w:afterAutospacing="0" w:line="500" w:lineRule="exact"/>
        <w:ind w:firstLine="4160" w:firstLineChars="1300"/>
        <w:jc w:val="both"/>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隆回县</w:t>
      </w:r>
      <w:r>
        <w:rPr>
          <w:rFonts w:hint="eastAsia" w:ascii="仿宋" w:hAnsi="仿宋" w:eastAsia="仿宋" w:cs="仿宋"/>
          <w:sz w:val="32"/>
          <w:szCs w:val="32"/>
          <w:shd w:val="clear" w:color="auto" w:fill="FFFFFF"/>
          <w:lang w:eastAsia="zh-CN"/>
        </w:rPr>
        <w:t>周旺</w:t>
      </w:r>
      <w:r>
        <w:rPr>
          <w:rFonts w:hint="eastAsia" w:ascii="仿宋" w:hAnsi="仿宋" w:eastAsia="仿宋" w:cs="仿宋"/>
          <w:sz w:val="32"/>
          <w:szCs w:val="32"/>
          <w:shd w:val="clear" w:color="auto" w:fill="FFFFFF"/>
        </w:rPr>
        <w:t>镇人民政府</w:t>
      </w:r>
    </w:p>
    <w:p w14:paraId="34708B5F">
      <w:pPr>
        <w:pStyle w:val="2"/>
        <w:spacing w:line="500" w:lineRule="exact"/>
        <w:ind w:firstLine="640"/>
        <w:rPr>
          <w:rFonts w:ascii="仿宋" w:hAnsi="仿宋" w:eastAsia="仿宋" w:cs="仿宋"/>
          <w:color w:val="000000" w:themeColor="text1"/>
          <w:szCs w:val="32"/>
          <w14:textFill>
            <w14:solidFill>
              <w14:schemeClr w14:val="tx1"/>
            </w14:solidFill>
          </w14:textFill>
        </w:rPr>
      </w:pPr>
      <w:r>
        <w:rPr>
          <w:rFonts w:hint="eastAsia" w:ascii="仿宋" w:hAnsi="仿宋" w:eastAsia="仿宋" w:cs="仿宋"/>
          <w:szCs w:val="32"/>
          <w:shd w:val="clear" w:color="auto" w:fill="FFFFFF"/>
        </w:rPr>
        <w:t xml:space="preserve">                            202</w:t>
      </w:r>
      <w:r>
        <w:rPr>
          <w:rFonts w:hint="eastAsia" w:ascii="仿宋" w:hAnsi="仿宋" w:eastAsia="仿宋" w:cs="仿宋"/>
          <w:szCs w:val="32"/>
          <w:shd w:val="clear" w:color="auto" w:fill="FFFFFF"/>
          <w:lang w:val="en-US" w:eastAsia="zh-CN"/>
        </w:rPr>
        <w:t>5</w:t>
      </w:r>
      <w:r>
        <w:rPr>
          <w:rFonts w:hint="eastAsia" w:ascii="仿宋" w:hAnsi="仿宋" w:eastAsia="仿宋" w:cs="仿宋"/>
          <w:szCs w:val="32"/>
          <w:shd w:val="clear" w:color="auto" w:fill="FFFFFF"/>
        </w:rPr>
        <w:t>年4月</w:t>
      </w:r>
      <w:r>
        <w:rPr>
          <w:rFonts w:hint="eastAsia" w:ascii="仿宋" w:hAnsi="仿宋" w:eastAsia="仿宋" w:cs="仿宋"/>
          <w:szCs w:val="32"/>
          <w:shd w:val="clear" w:color="auto" w:fill="FFFFFF"/>
          <w:lang w:val="en-US" w:eastAsia="zh-CN"/>
        </w:rPr>
        <w:t>30</w:t>
      </w:r>
      <w:r>
        <w:rPr>
          <w:rFonts w:hint="eastAsia" w:ascii="仿宋" w:hAnsi="仿宋" w:eastAsia="仿宋" w:cs="仿宋"/>
          <w:szCs w:val="32"/>
          <w:shd w:val="clear" w:color="auto" w:fill="FFFFFF"/>
        </w:rPr>
        <w:t>日</w:t>
      </w:r>
    </w:p>
    <w:p w14:paraId="39CBB597">
      <w:pPr>
        <w:pStyle w:val="2"/>
        <w:ind w:firstLine="0" w:firstLineChars="0"/>
        <w:rPr>
          <w:rFonts w:ascii="宋体" w:hAnsi="宋体" w:cs="宋体"/>
          <w:color w:val="000000" w:themeColor="text1"/>
          <w:szCs w:val="32"/>
          <w14:textFill>
            <w14:solidFill>
              <w14:schemeClr w14:val="tx1"/>
            </w14:solidFill>
          </w14:textFill>
        </w:rPr>
      </w:pPr>
    </w:p>
    <w:p w14:paraId="5A378280"/>
    <w:sectPr>
      <w:headerReference r:id="rId3" w:type="default"/>
      <w:footerReference r:id="rId4" w:type="default"/>
      <w:footerReference r:id="rId5" w:type="even"/>
      <w:pgSz w:w="11905" w:h="16837"/>
      <w:pgMar w:top="1701" w:right="1588" w:bottom="1418" w:left="1588" w:header="720" w:footer="1701" w:gutter="0"/>
      <w:pgNumType w:fmt="numberInDash"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628BF">
    <w:pPr>
      <w:pStyle w:val="6"/>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90500"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E5FA7">
                          <w:pPr>
                            <w:pStyle w:val="6"/>
                            <w:jc w:val="right"/>
                          </w:pPr>
                          <w:r>
                            <w:fldChar w:fldCharType="begin"/>
                          </w:r>
                          <w:r>
                            <w:instrText xml:space="preserve"> PAGE  \* MERGEFORMAT </w:instrText>
                          </w:r>
                          <w:r>
                            <w:fldChar w:fldCharType="separate"/>
                          </w:r>
                          <w: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5pt;mso-position-horizontal:outside;mso-position-horizontal-relative:margin;mso-wrap-style:none;z-index:251659264;mso-width-relative:page;mso-height-relative:page;" filled="f" stroked="f" coordsize="21600,21600" o:gfxdata="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SdTdDRAAAAAwEAAA8AAAAAAAAAAQAgAAAAIgAAAGRycy9kb3ducmV2LnhtbFBLAQIUABQA&#10;AAAIAIdO4kAqOCnUMAIAAFMEAAAOAAAAAAAAAAEAIAAAACABAABkcnMvZTJvRG9jLnhtbFBLBQYA&#10;AAAABgAGAFkBAADCBQAAAAA=&#10;">
              <v:fill on="f" focussize="0,0"/>
              <v:stroke on="f" weight="0.5pt"/>
              <v:imagedata o:title=""/>
              <o:lock v:ext="edit" aspectratio="f"/>
              <v:textbox inset="0mm,0mm,0mm,0mm" style="mso-fit-shape-to-text:t;">
                <w:txbxContent>
                  <w:p w14:paraId="52CE5FA7">
                    <w:pPr>
                      <w:pStyle w:val="6"/>
                      <w:jc w:val="right"/>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5B7E0">
    <w:pPr>
      <w:pStyle w:val="6"/>
      <w:framePr w:wrap="around" w:vAnchor="text" w:hAnchor="margin" w:xAlign="outside" w:y="1"/>
      <w:rPr>
        <w:rStyle w:val="11"/>
      </w:rPr>
    </w:pPr>
    <w:r>
      <w:fldChar w:fldCharType="begin"/>
    </w:r>
    <w:r>
      <w:rPr>
        <w:rStyle w:val="11"/>
      </w:rPr>
      <w:instrText xml:space="preserve">PAGE  </w:instrText>
    </w:r>
    <w:r>
      <w:fldChar w:fldCharType="end"/>
    </w:r>
  </w:p>
  <w:p w14:paraId="41CAE79F">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6257F">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2OTkxOWM3OGJmOWNhYWQwM2EwMGQ1ZGNmYTZhOGEifQ=="/>
  </w:docVars>
  <w:rsids>
    <w:rsidRoot w:val="78D208BE"/>
    <w:rsid w:val="18F22268"/>
    <w:rsid w:val="22C447D4"/>
    <w:rsid w:val="22D26655"/>
    <w:rsid w:val="273E1497"/>
    <w:rsid w:val="441D6236"/>
    <w:rsid w:val="6DE7633E"/>
    <w:rsid w:val="78D20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pPr>
  </w:style>
  <w:style w:type="paragraph" w:styleId="3">
    <w:name w:val="Body Text Indent"/>
    <w:basedOn w:val="1"/>
    <w:qFormat/>
    <w:uiPriority w:val="0"/>
    <w:pPr>
      <w:ind w:firstLine="640" w:firstLineChars="200"/>
    </w:pPr>
    <w:rPr>
      <w:sz w:val="32"/>
    </w:rPr>
  </w:style>
  <w:style w:type="paragraph" w:styleId="4">
    <w:name w:val="Normal Indent"/>
    <w:basedOn w:val="1"/>
    <w:qFormat/>
    <w:uiPriority w:val="0"/>
    <w:pPr>
      <w:ind w:firstLine="420" w:firstLineChars="200"/>
    </w:pPr>
    <w:rPr>
      <w:rFonts w:ascii="Calibri" w:hAnsi="Calibri" w:eastAsia="宋体" w:cs="Times New Roman"/>
    </w:rPr>
  </w:style>
  <w:style w:type="paragraph" w:styleId="5">
    <w:name w:val="Body Text"/>
    <w:basedOn w:val="1"/>
    <w:next w:val="1"/>
    <w:qFormat/>
    <w:uiPriority w:val="1"/>
    <w:rPr>
      <w:rFonts w:ascii="仿宋_GB2312" w:hAnsi="仿宋_GB2312" w:eastAsia="仿宋_GB2312" w:cs="仿宋_GB2312"/>
      <w:sz w:val="32"/>
      <w:szCs w:val="32"/>
      <w:lang w:val="zh-CN" w:bidi="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2920</Words>
  <Characters>3040</Characters>
  <Lines>0</Lines>
  <Paragraphs>0</Paragraphs>
  <TotalTime>7</TotalTime>
  <ScaleCrop>false</ScaleCrop>
  <LinksUpToDate>false</LinksUpToDate>
  <CharactersWithSpaces>3071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2025-04-30T01:50:00Z</dcterms:created>
  <dc:creator>Administrator</dc:creator>
  <cp:lastModifiedBy>L</cp:lastModifiedBy>
  <dcterms:modified xsi:type="dcterms:W3CDTF">2025-09-28T07:36:52Z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66F47E3EF75540948646F4CFA0C21B1E</vt:lpwstr>
  </property>
  <property fmtid="{D5CDD505-2E9C-101B-9397-08002B2CF9AE}" pid="4" name="KSOTemplateDocerSaveRecord">
    <vt:lpwstr>eyJoZGlkIjoiNzM3YzdjNDZjYjIwMjg4ZGY1ZjBkZDU2NGVlZjk5ZTMiLCJ1c2VySWQiOiI5NTc5Mjk2NDIifQ==</vt:lpwstr>
  </property>
</Properties>
</file>