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48F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232323"/>
          <w:spacing w:val="0"/>
          <w:sz w:val="21"/>
          <w:szCs w:val="21"/>
        </w:rPr>
      </w:pPr>
      <w:r>
        <w:rPr>
          <w:rFonts w:ascii="方正大标宋简体" w:hAnsi="方正大标宋简体" w:eastAsia="方正大标宋简体" w:cs="方正大标宋简体"/>
          <w:i w:val="0"/>
          <w:iCs w:val="0"/>
          <w:caps w:val="0"/>
          <w:color w:val="232323"/>
          <w:spacing w:val="0"/>
          <w:kern w:val="0"/>
          <w:sz w:val="44"/>
          <w:szCs w:val="44"/>
          <w:bdr w:val="none" w:color="auto" w:sz="0" w:space="0"/>
          <w:shd w:val="clear" w:fill="FFFFFF"/>
          <w:lang w:val="en-US" w:eastAsia="zh-CN" w:bidi="ar"/>
        </w:rPr>
        <w:t>部门整体支出绩效自评报告</w:t>
      </w:r>
    </w:p>
    <w:p w14:paraId="4EB014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32323"/>
          <w:spacing w:val="0"/>
          <w:sz w:val="21"/>
          <w:szCs w:val="21"/>
        </w:rPr>
      </w:pPr>
      <w:r>
        <w:rPr>
          <w:rFonts w:ascii="仿宋" w:hAnsi="仿宋" w:eastAsia="仿宋" w:cs="仿宋"/>
          <w:i w:val="0"/>
          <w:iCs w:val="0"/>
          <w:caps w:val="0"/>
          <w:color w:val="232323"/>
          <w:spacing w:val="0"/>
          <w:kern w:val="0"/>
          <w:sz w:val="21"/>
          <w:szCs w:val="21"/>
          <w:bdr w:val="none" w:color="auto" w:sz="0" w:space="0"/>
          <w:shd w:val="clear" w:fill="FFFFFF"/>
          <w:lang w:val="en-US" w:eastAsia="zh-CN" w:bidi="ar"/>
        </w:rPr>
        <w:t> </w:t>
      </w:r>
    </w:p>
    <w:p w14:paraId="25A2E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ascii="黑体" w:hAnsi="宋体" w:eastAsia="黑体" w:cs="黑体"/>
          <w:i w:val="0"/>
          <w:iCs w:val="0"/>
          <w:caps w:val="0"/>
          <w:color w:val="232323"/>
          <w:spacing w:val="0"/>
          <w:kern w:val="0"/>
          <w:sz w:val="32"/>
          <w:szCs w:val="32"/>
          <w:bdr w:val="none" w:color="auto" w:sz="0" w:space="0"/>
          <w:shd w:val="clear" w:fill="FFFFFF"/>
          <w:lang w:val="en-US" w:eastAsia="zh-CN" w:bidi="ar"/>
        </w:rPr>
        <w:t>一、部门、单位基本情况</w:t>
      </w:r>
    </w:p>
    <w:p w14:paraId="116B63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（一）机构</w:t>
      </w:r>
      <w:bookmarkStart w:id="0" w:name="_GoBack"/>
      <w:bookmarkEnd w:id="0"/>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设置情况、人员编制情况。</w:t>
      </w:r>
    </w:p>
    <w:p w14:paraId="427A5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    根据编委办核定，我单位内设科室 18 个，所属事业单位0  个，内设科室分别是：学校设校长、党支部书记、三个副校长、纪检书记、工会主席等职务，内设党建办、办公室、工会、教务处、政教处、总务处、实训处、发展规划处、督导室、教科室、信息中心、服务部、妇委会、团委、信息系、机械系、艺术系、商贸系等十八个处室。</w:t>
      </w:r>
    </w:p>
    <w:p w14:paraId="4B443E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    隆回县职业中等专业学校2023年12月编制人数为267人，实际在职人数267人。学生总人数为6189人，实有学生人数为6189人。</w:t>
      </w:r>
    </w:p>
    <w:p w14:paraId="4292A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主要职能职责：</w:t>
      </w:r>
    </w:p>
    <w:p w14:paraId="478110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培养学生的职业素养和实用技能，开设符合行业职业技能标准的专业课程，促进</w:t>
      </w:r>
      <w:r>
        <w:rPr>
          <w:rFonts w:hint="eastAsia" w:ascii="仿宋" w:hAnsi="仿宋" w:eastAsia="仿宋" w:cs="仿宋"/>
          <w:i w:val="0"/>
          <w:iCs w:val="0"/>
          <w:caps w:val="0"/>
          <w:color w:val="00B050"/>
          <w:spacing w:val="0"/>
          <w:kern w:val="0"/>
          <w:sz w:val="32"/>
          <w:szCs w:val="32"/>
          <w:bdr w:val="none" w:color="auto" w:sz="0" w:space="0"/>
          <w:shd w:val="clear" w:fill="FFFFFF"/>
          <w:lang w:val="en-US" w:eastAsia="zh-CN" w:bidi="ar"/>
        </w:rPr>
        <w:t>职业</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教育发展，办人民满意的教育。</w:t>
      </w:r>
    </w:p>
    <w:p w14:paraId="4DFD84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2023年的重点工作：</w:t>
      </w:r>
    </w:p>
    <w:p w14:paraId="0CE70D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研究拟定学校教育发展策略，贯彻和执行党和国家的教育方针、政策、法规。管理和指导学校</w:t>
      </w:r>
      <w:r>
        <w:rPr>
          <w:rFonts w:hint="eastAsia" w:ascii="仿宋" w:hAnsi="仿宋" w:eastAsia="仿宋" w:cs="仿宋"/>
          <w:i w:val="0"/>
          <w:iCs w:val="0"/>
          <w:caps w:val="0"/>
          <w:color w:val="00B050"/>
          <w:spacing w:val="0"/>
          <w:kern w:val="0"/>
          <w:sz w:val="32"/>
          <w:szCs w:val="32"/>
          <w:bdr w:val="none" w:color="auto" w:sz="0" w:space="0"/>
          <w:shd w:val="clear" w:fill="FFFFFF"/>
          <w:lang w:val="en-US" w:eastAsia="zh-CN" w:bidi="ar"/>
        </w:rPr>
        <w:t>职业</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教育工作，确保中专教育工作成果，管理学校教育经费，执行财务管理制度，负责和指导学校教职工的思想政治工作。</w:t>
      </w:r>
    </w:p>
    <w:p w14:paraId="6BF01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（二）部门整体支出情况</w:t>
      </w:r>
    </w:p>
    <w:p w14:paraId="2F1DAC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我单位2023年预算总支出为5493.41万元，其中基本支出2798.40万元，具体是工资福利支出2788.54万元、商品和服务支出9.86万元、</w:t>
      </w:r>
      <w:r>
        <w:rPr>
          <w:rFonts w:hint="eastAsia" w:ascii="仿宋" w:hAnsi="仿宋" w:eastAsia="仿宋" w:cs="仿宋"/>
          <w:i w:val="0"/>
          <w:iCs w:val="0"/>
          <w:caps w:val="0"/>
          <w:color w:val="00B050"/>
          <w:spacing w:val="0"/>
          <w:kern w:val="0"/>
          <w:sz w:val="32"/>
          <w:szCs w:val="32"/>
          <w:bdr w:val="none" w:color="auto" w:sz="0" w:space="0"/>
          <w:shd w:val="clear" w:fill="FFFFFF"/>
          <w:lang w:val="en-US" w:eastAsia="zh-CN" w:bidi="ar"/>
        </w:rPr>
        <w:t>项目支出2695万元</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，对个人和家庭的补助0万元。</w:t>
      </w:r>
    </w:p>
    <w:p w14:paraId="24E238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i w:val="0"/>
          <w:iCs w:val="0"/>
          <w:caps w:val="0"/>
          <w:color w:val="232323"/>
          <w:spacing w:val="0"/>
          <w:kern w:val="0"/>
          <w:sz w:val="32"/>
          <w:szCs w:val="32"/>
          <w:bdr w:val="none" w:color="auto" w:sz="0" w:space="0"/>
          <w:shd w:val="clear" w:fill="FFFFFF"/>
          <w:lang w:val="en-US" w:eastAsia="zh-CN" w:bidi="ar"/>
        </w:rPr>
        <w:t>二、部门整体支出管理及使用情况</w:t>
      </w:r>
    </w:p>
    <w:p w14:paraId="761DA2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（一）基本支出情况</w:t>
      </w:r>
    </w:p>
    <w:p w14:paraId="4EE40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2023年度决算数为6002.13万元，是指为保障单位机构正常运转、完成日常工作任务而发生的各项支出，包括用于基本工资、津贴补贴等人员经费以及办公费、印刷费、水电费及办公设备购置等日常公用经费。</w:t>
      </w:r>
    </w:p>
    <w:p w14:paraId="42459C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（二）县级专项资金情况</w:t>
      </w:r>
    </w:p>
    <w:p w14:paraId="679BAE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2023年年度决算数为0万元，是指单位为完成选定行政工作或事业发展目标而发生的支出，包括有关事业发展专项、专项业务费、基本建设支出等。我单位项目支出由县教育局统一上报。</w:t>
      </w:r>
    </w:p>
    <w:p w14:paraId="777EA0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（三）“三公”经费情况</w:t>
      </w:r>
    </w:p>
    <w:p w14:paraId="710F5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2023年我单位“三公”经费0万元。</w:t>
      </w:r>
    </w:p>
    <w:p w14:paraId="44C80C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1、因公出国(境)费0元；</w:t>
      </w:r>
    </w:p>
    <w:p w14:paraId="4EC78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2、公务接待费0万元；</w:t>
      </w:r>
    </w:p>
    <w:p w14:paraId="6955D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3、公务用车费0万元（公务用车运行维护费0万元，公务用车购置费 0 元）。</w:t>
      </w:r>
    </w:p>
    <w:p w14:paraId="2B7F2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政府性基金预算支出情况</w:t>
      </w:r>
    </w:p>
    <w:p w14:paraId="37CDC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i w:val="0"/>
          <w:iCs w:val="0"/>
          <w:caps w:val="0"/>
          <w:color w:val="232323"/>
          <w:spacing w:val="0"/>
          <w:kern w:val="0"/>
          <w:sz w:val="32"/>
          <w:szCs w:val="32"/>
          <w:bdr w:val="none" w:color="auto" w:sz="0" w:space="0"/>
          <w:shd w:val="clear" w:fill="FFFFFF"/>
          <w:lang w:val="en-US" w:eastAsia="zh-CN" w:bidi="ar"/>
        </w:rPr>
        <w:t>2023</w:t>
      </w:r>
      <w:r>
        <w:rPr>
          <w:rFonts w:ascii="仿宋_GB2312" w:hAnsi="微软雅黑" w:eastAsia="仿宋_GB2312" w:cs="仿宋_GB2312"/>
          <w:i w:val="0"/>
          <w:iCs w:val="0"/>
          <w:caps w:val="0"/>
          <w:color w:val="232323"/>
          <w:spacing w:val="0"/>
          <w:kern w:val="0"/>
          <w:sz w:val="32"/>
          <w:szCs w:val="32"/>
          <w:bdr w:val="none" w:color="auto" w:sz="0" w:space="0"/>
          <w:shd w:val="clear" w:fill="FFFFFF"/>
          <w:lang w:val="en-US" w:eastAsia="zh-CN" w:bidi="ar"/>
        </w:rPr>
        <w:t>年本部门政府性基金支出预算</w:t>
      </w:r>
      <w:r>
        <w:rPr>
          <w:rFonts w:hint="default" w:ascii="Times New Roman" w:hAnsi="Times New Roman" w:eastAsia="微软雅黑" w:cs="Times New Roman"/>
          <w:i w:val="0"/>
          <w:iCs w:val="0"/>
          <w:caps w:val="0"/>
          <w:color w:val="232323"/>
          <w:spacing w:val="0"/>
          <w:kern w:val="0"/>
          <w:sz w:val="32"/>
          <w:szCs w:val="32"/>
          <w:bdr w:val="none" w:color="auto" w:sz="0" w:space="0"/>
          <w:shd w:val="clear" w:fill="FFFFFF"/>
          <w:lang w:val="en-US" w:eastAsia="zh-CN" w:bidi="ar"/>
        </w:rPr>
        <w:t>0</w:t>
      </w:r>
      <w:r>
        <w:rPr>
          <w:rFonts w:hint="eastAsia" w:ascii="仿宋_GB2312" w:hAnsi="微软雅黑" w:eastAsia="仿宋_GB2312" w:cs="仿宋_GB2312"/>
          <w:i w:val="0"/>
          <w:iCs w:val="0"/>
          <w:caps w:val="0"/>
          <w:color w:val="232323"/>
          <w:spacing w:val="0"/>
          <w:kern w:val="0"/>
          <w:sz w:val="32"/>
          <w:szCs w:val="32"/>
          <w:bdr w:val="none" w:color="auto" w:sz="0" w:space="0"/>
          <w:shd w:val="clear" w:fill="FFFFFF"/>
          <w:lang w:val="en-US" w:eastAsia="zh-CN" w:bidi="ar"/>
        </w:rPr>
        <w:t>万元，本部门无政府性基金安排的支出。</w:t>
      </w:r>
    </w:p>
    <w:p w14:paraId="4DA483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i w:val="0"/>
          <w:iCs w:val="0"/>
          <w:caps w:val="0"/>
          <w:color w:val="232323"/>
          <w:spacing w:val="0"/>
          <w:kern w:val="0"/>
          <w:sz w:val="32"/>
          <w:szCs w:val="32"/>
          <w:bdr w:val="none" w:color="auto" w:sz="0" w:space="0"/>
          <w:shd w:val="clear" w:fill="FFFFFF"/>
          <w:lang w:val="en-US" w:eastAsia="zh-CN" w:bidi="ar"/>
        </w:rPr>
        <w:t>三、国有资本经营预算支出情况</w:t>
      </w:r>
    </w:p>
    <w:p w14:paraId="44075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i w:val="0"/>
          <w:iCs w:val="0"/>
          <w:caps w:val="0"/>
          <w:color w:val="232323"/>
          <w:spacing w:val="0"/>
          <w:sz w:val="32"/>
          <w:szCs w:val="32"/>
          <w:bdr w:val="none" w:color="auto" w:sz="0" w:space="0"/>
          <w:shd w:val="clear" w:fill="FFFFFF"/>
        </w:rPr>
        <w:t>2023</w:t>
      </w:r>
      <w:r>
        <w:rPr>
          <w:rFonts w:hint="eastAsia" w:ascii="仿宋_GB2312" w:hAnsi="微软雅黑" w:eastAsia="仿宋_GB2312" w:cs="仿宋_GB2312"/>
          <w:i w:val="0"/>
          <w:iCs w:val="0"/>
          <w:caps w:val="0"/>
          <w:color w:val="232323"/>
          <w:spacing w:val="0"/>
          <w:sz w:val="32"/>
          <w:szCs w:val="32"/>
          <w:bdr w:val="none" w:color="auto" w:sz="0" w:space="0"/>
          <w:shd w:val="clear" w:fill="FFFFFF"/>
        </w:rPr>
        <w:t>年本部门无国有资本经营预算的支出。</w:t>
      </w:r>
    </w:p>
    <w:p w14:paraId="6151D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 </w:t>
      </w:r>
    </w:p>
    <w:p w14:paraId="07BB07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社会保险基金预算支出情况</w:t>
      </w:r>
    </w:p>
    <w:p w14:paraId="0CC1E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i w:val="0"/>
          <w:iCs w:val="0"/>
          <w:caps w:val="0"/>
          <w:color w:val="232323"/>
          <w:spacing w:val="0"/>
          <w:sz w:val="32"/>
          <w:szCs w:val="32"/>
          <w:bdr w:val="none" w:color="auto" w:sz="0" w:space="0"/>
          <w:shd w:val="clear" w:fill="FFFFFF"/>
        </w:rPr>
        <w:t>2023</w:t>
      </w:r>
      <w:r>
        <w:rPr>
          <w:rFonts w:hint="eastAsia" w:ascii="仿宋_GB2312" w:hAnsi="微软雅黑" w:eastAsia="仿宋_GB2312" w:cs="仿宋_GB2312"/>
          <w:i w:val="0"/>
          <w:iCs w:val="0"/>
          <w:caps w:val="0"/>
          <w:color w:val="232323"/>
          <w:spacing w:val="0"/>
          <w:sz w:val="32"/>
          <w:szCs w:val="32"/>
          <w:bdr w:val="none" w:color="auto" w:sz="0" w:space="0"/>
          <w:shd w:val="clear" w:fill="FFFFFF"/>
        </w:rPr>
        <w:t>年本部门无社会保险基金预算的支出。</w:t>
      </w:r>
    </w:p>
    <w:p w14:paraId="32A523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i w:val="0"/>
          <w:iCs w:val="0"/>
          <w:caps w:val="0"/>
          <w:color w:val="232323"/>
          <w:spacing w:val="0"/>
          <w:kern w:val="0"/>
          <w:sz w:val="21"/>
          <w:szCs w:val="21"/>
          <w:bdr w:val="none" w:color="auto" w:sz="0" w:space="0"/>
          <w:shd w:val="clear" w:fill="FFFFFF"/>
          <w:lang w:val="en-US" w:eastAsia="zh-CN" w:bidi="ar"/>
        </w:rPr>
        <w:t> </w:t>
      </w:r>
    </w:p>
    <w:p w14:paraId="66FE5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六、部门整体支出绩效情况</w:t>
      </w:r>
    </w:p>
    <w:p w14:paraId="58666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财务管理制度建设情况：资金拨付严格按程序申报、审批，合理合规使用资金，确保财政资金安全。</w:t>
      </w:r>
    </w:p>
    <w:p w14:paraId="65960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资产管理：及时按照要求报送资产情况报表，确保各项资产核算准确、帐实相符、管理到位。</w:t>
      </w:r>
    </w:p>
    <w:p w14:paraId="0DFE6D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预决算公开：及时在县人民政府门户网站上进行了预决算公开。</w:t>
      </w:r>
    </w:p>
    <w:p w14:paraId="55F2B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“三公经费”控制情况：能严格遵守各项规章制度，严控“三公”经费支出，并及时在县人民政府门户网站上对“三公”经费情况进行公示。</w:t>
      </w:r>
    </w:p>
    <w:p w14:paraId="2D710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认真履行职责，及时报送财政供养信息、存量资金等有关资料及报表。</w:t>
      </w:r>
    </w:p>
    <w:p w14:paraId="62D42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存在的问题</w:t>
      </w:r>
    </w:p>
    <w:p w14:paraId="2AE59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1、预算编制工作有待细化。预算编制不够明确和细化，预算编制的合理性需要提高，预算执行力度还要进一步加强。</w:t>
      </w:r>
    </w:p>
    <w:p w14:paraId="2C177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2、工会经费等人头经费严重不足。</w:t>
      </w:r>
    </w:p>
    <w:p w14:paraId="49930B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i w:val="0"/>
          <w:iCs w:val="0"/>
          <w:caps w:val="0"/>
          <w:color w:val="232323"/>
          <w:spacing w:val="0"/>
          <w:kern w:val="0"/>
          <w:sz w:val="21"/>
          <w:szCs w:val="21"/>
          <w:bdr w:val="none" w:color="auto" w:sz="0" w:space="0"/>
          <w:shd w:val="clear" w:fill="FFFFFF"/>
          <w:lang w:val="en-US" w:eastAsia="zh-CN" w:bidi="ar"/>
        </w:rPr>
        <w:t> </w:t>
      </w:r>
    </w:p>
    <w:p w14:paraId="14E58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改进措施及有关建议</w:t>
      </w:r>
    </w:p>
    <w:p w14:paraId="1DEA5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1、加强学习。加强财务管理和预算绩效的学习，把二者相结合，按照业务工作需要和制度要求，做到花钱必有效。</w:t>
      </w:r>
    </w:p>
    <w:p w14:paraId="4D341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2、加强财务管理，严格财务审核。加强单位财务管理，在费用报账支付时，按照预算规定的费用项目和用途进行资金使用审核、列报支付、财务核算，杜绝超支现象的发生。</w:t>
      </w:r>
    </w:p>
    <w:p w14:paraId="3BB57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3、严控开支。坚持无预算不开支的原则，落实中央过紧日子的要求，精简一般性支出，把有限的资金花在最需要的地方、最有效的地方，以保障重点统计工作的经费需求。</w:t>
      </w:r>
    </w:p>
    <w:p w14:paraId="75E671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i w:val="0"/>
          <w:iCs w:val="0"/>
          <w:caps w:val="0"/>
          <w:color w:val="232323"/>
          <w:spacing w:val="0"/>
          <w:sz w:val="32"/>
          <w:szCs w:val="32"/>
          <w:bdr w:val="none" w:color="auto" w:sz="0" w:space="0"/>
          <w:shd w:val="clear" w:fill="FFFFFF"/>
        </w:rPr>
        <w:t>4、希望财政管理部门能落实好单位的奖励绩效缺口经费及工会缺口经费。</w:t>
      </w:r>
    </w:p>
    <w:p w14:paraId="5EFEB0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2E66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2024-11-01T00:42:29Z</dcterms:created>
  <dc:creator>Administrator.pc-201712171005</dc:creator>
  <cp:lastModifiedBy>Administrator</cp:lastModifiedBy>
  <dcterms:modified xsi:type="dcterms:W3CDTF">2024-11-01T00:42:43Z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317DD0A7601F4920A5D4D717F180528F_12</vt:lpwstr>
  </property>
</Properties>
</file>