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spacing w:line="600" w:lineRule="exact"/>
        <w:jc w:val="center"/>
        <w:rPr>
          <w:rFonts w:hint="default" w:ascii="方正大标宋简体" w:hAnsi="方正大标宋简体" w:eastAsia="方正大标宋简体" w:cs="方正大标宋简体"/>
          <w:b w:val="0"/>
          <w:bCs/>
          <w:kern w:val="0"/>
          <w:sz w:val="44"/>
          <w:szCs w:val="44"/>
          <w:lang w:val="en-US" w:eastAsia="zh-CN"/>
        </w:rPr>
      </w:pPr>
      <w:r>
        <w:rPr>
          <w:rFonts w:hint="eastAsia" w:ascii="方正大标宋简体" w:hAnsi="方正大标宋简体" w:eastAsia="方正大标宋简体" w:cs="方正大标宋简体"/>
          <w:b w:val="0"/>
          <w:bCs/>
          <w:kern w:val="0"/>
          <w:sz w:val="44"/>
          <w:szCs w:val="44"/>
          <w:lang w:val="en-US" w:eastAsia="zh-CN"/>
        </w:rPr>
        <w:t>隆回县交通运输综合行政执法大队</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spacing w:line="600" w:lineRule="exact"/>
        <w:ind w:firstLine="643" w:firstLineChars="200"/>
        <w:jc w:val="left"/>
        <w:rPr>
          <w:rFonts w:hint="default" w:ascii="仿宋" w:hAnsi="仿宋" w:eastAsia="仿宋" w:cs="仿宋"/>
          <w:sz w:val="32"/>
          <w:szCs w:val="32"/>
          <w:lang w:val="en-US" w:eastAsia="zh-CN"/>
        </w:rPr>
      </w:pPr>
      <w:r>
        <w:rPr>
          <w:rFonts w:hint="eastAsia" w:ascii="华文楷体" w:hAnsi="华文楷体" w:eastAsia="华文楷体" w:cs="华文楷体"/>
          <w:b/>
          <w:bCs w:val="0"/>
          <w:sz w:val="32"/>
          <w:szCs w:val="32"/>
          <w:lang w:val="en-US" w:eastAsia="zh-CN"/>
        </w:rPr>
        <w:t>机构设置情况：</w:t>
      </w:r>
      <w:r>
        <w:rPr>
          <w:rFonts w:hint="eastAsia" w:ascii="仿宋" w:hAnsi="仿宋" w:eastAsia="仿宋" w:cs="仿宋"/>
          <w:sz w:val="32"/>
          <w:szCs w:val="32"/>
          <w:lang w:val="en-US" w:eastAsia="zh-CN"/>
        </w:rPr>
        <w:t>隆回县交通运输综合行政执法大队有</w:t>
      </w:r>
      <w:r>
        <w:rPr>
          <w:rFonts w:hint="eastAsia" w:ascii="仿宋" w:hAnsi="仿宋" w:eastAsia="仿宋" w:cs="仿宋"/>
          <w:sz w:val="32"/>
          <w:szCs w:val="32"/>
        </w:rPr>
        <w:t>综合股(财务股)</w:t>
      </w:r>
      <w:r>
        <w:rPr>
          <w:rFonts w:hint="eastAsia" w:ascii="仿宋" w:hAnsi="仿宋" w:eastAsia="仿宋" w:cs="仿宋"/>
          <w:sz w:val="32"/>
          <w:szCs w:val="32"/>
          <w:lang w:eastAsia="zh-CN"/>
        </w:rPr>
        <w:t>、</w:t>
      </w:r>
      <w:r>
        <w:rPr>
          <w:rFonts w:hint="eastAsia" w:ascii="仿宋" w:hAnsi="仿宋" w:eastAsia="仿宋" w:cs="仿宋"/>
          <w:sz w:val="32"/>
          <w:szCs w:val="32"/>
        </w:rPr>
        <w:t>人事教育股</w:t>
      </w:r>
      <w:r>
        <w:rPr>
          <w:rFonts w:hint="eastAsia" w:ascii="仿宋" w:hAnsi="仿宋" w:eastAsia="仿宋" w:cs="仿宋"/>
          <w:sz w:val="32"/>
          <w:szCs w:val="32"/>
          <w:lang w:eastAsia="zh-CN"/>
        </w:rPr>
        <w:t>、</w:t>
      </w:r>
      <w:r>
        <w:rPr>
          <w:rFonts w:hint="eastAsia" w:ascii="仿宋" w:hAnsi="仿宋" w:eastAsia="仿宋" w:cs="仿宋"/>
          <w:sz w:val="32"/>
          <w:szCs w:val="32"/>
        </w:rPr>
        <w:t>政策法规股</w:t>
      </w:r>
      <w:r>
        <w:rPr>
          <w:rFonts w:hint="eastAsia" w:ascii="仿宋" w:hAnsi="仿宋" w:eastAsia="仿宋" w:cs="仿宋"/>
          <w:sz w:val="32"/>
          <w:szCs w:val="32"/>
          <w:lang w:eastAsia="zh-CN"/>
        </w:rPr>
        <w:t>、</w:t>
      </w:r>
      <w:r>
        <w:rPr>
          <w:rFonts w:hint="eastAsia" w:ascii="仿宋" w:hAnsi="仿宋" w:eastAsia="仿宋" w:cs="仿宋"/>
          <w:sz w:val="32"/>
          <w:szCs w:val="32"/>
        </w:rPr>
        <w:t>科技信息股</w:t>
      </w:r>
      <w:r>
        <w:rPr>
          <w:rFonts w:hint="eastAsia" w:ascii="仿宋" w:hAnsi="仿宋" w:eastAsia="仿宋" w:cs="仿宋"/>
          <w:sz w:val="32"/>
          <w:szCs w:val="32"/>
          <w:lang w:eastAsia="zh-CN"/>
        </w:rPr>
        <w:t>、</w:t>
      </w:r>
      <w:r>
        <w:rPr>
          <w:rFonts w:hint="eastAsia" w:ascii="仿宋" w:hAnsi="仿宋" w:eastAsia="仿宋" w:cs="仿宋"/>
          <w:sz w:val="32"/>
          <w:szCs w:val="32"/>
        </w:rPr>
        <w:t>安全股</w:t>
      </w:r>
      <w:r>
        <w:rPr>
          <w:rFonts w:hint="eastAsia" w:ascii="仿宋" w:hAnsi="仿宋" w:eastAsia="仿宋" w:cs="仿宋"/>
          <w:sz w:val="32"/>
          <w:szCs w:val="32"/>
          <w:lang w:eastAsia="zh-CN"/>
        </w:rPr>
        <w:t>、</w:t>
      </w:r>
      <w:r>
        <w:rPr>
          <w:rFonts w:hint="eastAsia" w:ascii="仿宋" w:hAnsi="仿宋" w:eastAsia="仿宋" w:cs="仿宋"/>
          <w:sz w:val="32"/>
          <w:szCs w:val="32"/>
        </w:rPr>
        <w:t>城市客运执法中队</w:t>
      </w:r>
      <w:r>
        <w:rPr>
          <w:rFonts w:hint="eastAsia" w:ascii="仿宋" w:hAnsi="仿宋" w:eastAsia="仿宋" w:cs="仿宋"/>
          <w:sz w:val="32"/>
          <w:szCs w:val="32"/>
          <w:lang w:eastAsia="zh-CN"/>
        </w:rPr>
        <w:t>、</w:t>
      </w:r>
      <w:r>
        <w:rPr>
          <w:rFonts w:hint="eastAsia" w:ascii="仿宋" w:hAnsi="仿宋" w:eastAsia="仿宋" w:cs="仿宋"/>
          <w:sz w:val="32"/>
          <w:szCs w:val="32"/>
        </w:rPr>
        <w:t>机动中队内</w:t>
      </w:r>
      <w:r>
        <w:rPr>
          <w:rFonts w:hint="eastAsia" w:ascii="仿宋" w:hAnsi="仿宋" w:eastAsia="仿宋" w:cs="仿宋"/>
          <w:sz w:val="32"/>
          <w:szCs w:val="32"/>
          <w:lang w:val="en-US" w:eastAsia="zh-CN"/>
        </w:rPr>
        <w:t>设</w:t>
      </w:r>
      <w:r>
        <w:rPr>
          <w:rFonts w:hint="eastAsia" w:ascii="仿宋" w:hAnsi="仿宋" w:eastAsia="仿宋" w:cs="仿宋"/>
          <w:sz w:val="32"/>
          <w:szCs w:val="32"/>
        </w:rPr>
        <w:t>机构共</w:t>
      </w:r>
      <w:r>
        <w:rPr>
          <w:rFonts w:hint="eastAsia" w:ascii="仿宋" w:hAnsi="仿宋" w:eastAsia="仿宋" w:cs="仿宋"/>
          <w:sz w:val="32"/>
          <w:szCs w:val="32"/>
          <w:lang w:val="en-US" w:eastAsia="zh-CN"/>
        </w:rPr>
        <w:t>7</w:t>
      </w:r>
      <w:r>
        <w:rPr>
          <w:rFonts w:hint="eastAsia" w:ascii="仿宋" w:hAnsi="仿宋" w:eastAsia="仿宋" w:cs="仿宋"/>
          <w:sz w:val="32"/>
          <w:szCs w:val="32"/>
        </w:rPr>
        <w:t>个，</w:t>
      </w:r>
      <w:r>
        <w:rPr>
          <w:rFonts w:hint="eastAsia" w:ascii="仿宋" w:hAnsi="仿宋" w:eastAsia="仿宋" w:cs="仿宋"/>
          <w:sz w:val="32"/>
          <w:szCs w:val="32"/>
          <w:lang w:val="en-US" w:eastAsia="zh-CN"/>
        </w:rPr>
        <w:t>另</w:t>
      </w:r>
      <w:r>
        <w:rPr>
          <w:rFonts w:hint="eastAsia" w:ascii="仿宋_GB2312" w:eastAsia="仿宋_GB2312"/>
          <w:spacing w:val="10"/>
          <w:sz w:val="32"/>
          <w:szCs w:val="32"/>
          <w:lang w:val="en-US" w:eastAsia="zh-CN"/>
        </w:rPr>
        <w:t>以</w:t>
      </w:r>
      <w:r>
        <w:rPr>
          <w:rFonts w:hint="eastAsia" w:ascii="仿宋" w:hAnsi="仿宋" w:eastAsia="仿宋" w:cs="仿宋"/>
          <w:color w:val="000000"/>
          <w:sz w:val="32"/>
          <w:szCs w:val="32"/>
          <w:lang w:val="en-US" w:eastAsia="zh-CN"/>
        </w:rPr>
        <w:t>乡镇（街道）区域设立治超执法中队和25个乡镇（街道）交通运输综合行政执法中队，为</w:t>
      </w:r>
      <w:r>
        <w:rPr>
          <w:rFonts w:hint="eastAsia" w:ascii="仿宋" w:hAnsi="仿宋" w:eastAsia="仿宋" w:cs="仿宋"/>
          <w:b w:val="0"/>
          <w:bCs w:val="0"/>
          <w:spacing w:val="8"/>
          <w:sz w:val="32"/>
          <w:szCs w:val="32"/>
          <w:shd w:val="clear" w:color="auto" w:fill="FFFFFF"/>
          <w:lang w:val="en-US" w:eastAsia="zh-CN"/>
        </w:rPr>
        <w:t>直属</w:t>
      </w:r>
      <w:r>
        <w:rPr>
          <w:rFonts w:hint="eastAsia" w:ascii="仿宋" w:hAnsi="仿宋" w:eastAsia="仿宋" w:cs="仿宋"/>
          <w:color w:val="000000"/>
          <w:sz w:val="32"/>
          <w:szCs w:val="32"/>
          <w:lang w:val="en-US" w:eastAsia="zh-CN"/>
        </w:rPr>
        <w:t>派出机构。</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华文楷体" w:hAnsi="华文楷体" w:eastAsia="华文楷体" w:cs="华文楷体"/>
          <w:b/>
          <w:bCs w:val="0"/>
          <w:sz w:val="32"/>
          <w:szCs w:val="32"/>
          <w:lang w:val="en-US" w:eastAsia="zh-CN"/>
        </w:rPr>
        <w:t>人员编制情况：</w:t>
      </w:r>
      <w:r>
        <w:rPr>
          <w:rFonts w:hint="eastAsia" w:ascii="仿宋" w:hAnsi="仿宋" w:eastAsia="仿宋" w:cs="仿宋"/>
          <w:sz w:val="32"/>
          <w:szCs w:val="32"/>
          <w:lang w:val="en-US" w:eastAsia="zh-CN"/>
        </w:rPr>
        <w:t>隆回县交通运输综合行政执法大队</w:t>
      </w:r>
      <w:r>
        <w:rPr>
          <w:rFonts w:hint="eastAsia" w:ascii="仿宋" w:hAnsi="仿宋" w:eastAsia="仿宋" w:cs="仿宋"/>
          <w:sz w:val="32"/>
          <w:szCs w:val="32"/>
        </w:rPr>
        <w:t>编制人数为</w:t>
      </w:r>
      <w:r>
        <w:rPr>
          <w:rFonts w:hint="eastAsia" w:ascii="仿宋" w:hAnsi="仿宋" w:eastAsia="仿宋" w:cs="仿宋"/>
          <w:sz w:val="32"/>
          <w:szCs w:val="32"/>
          <w:lang w:val="en-US" w:eastAsia="zh-CN"/>
        </w:rPr>
        <w:t>139</w:t>
      </w:r>
      <w:r>
        <w:rPr>
          <w:rFonts w:hint="eastAsia" w:ascii="仿宋" w:hAnsi="仿宋" w:eastAsia="仿宋" w:cs="仿宋"/>
          <w:sz w:val="32"/>
          <w:szCs w:val="32"/>
        </w:rPr>
        <w:t>人，实际人数</w:t>
      </w:r>
      <w:r>
        <w:rPr>
          <w:rFonts w:hint="eastAsia" w:ascii="仿宋" w:hAnsi="仿宋" w:eastAsia="仿宋" w:cs="仿宋"/>
          <w:sz w:val="32"/>
          <w:szCs w:val="32"/>
          <w:lang w:val="en-US" w:eastAsia="zh-CN"/>
        </w:rPr>
        <w:t>137</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133</w:t>
      </w:r>
      <w:r>
        <w:rPr>
          <w:rFonts w:hint="eastAsia" w:ascii="仿宋" w:hAnsi="仿宋" w:eastAsia="仿宋" w:cs="仿宋"/>
          <w:sz w:val="32"/>
          <w:szCs w:val="32"/>
        </w:rPr>
        <w:t>人</w:t>
      </w:r>
      <w:r>
        <w:rPr>
          <w:rFonts w:hint="eastAsia" w:ascii="仿宋" w:hAnsi="仿宋" w:eastAsia="仿宋" w:cs="仿宋"/>
          <w:sz w:val="32"/>
          <w:szCs w:val="32"/>
          <w:lang w:val="en-US" w:eastAsia="zh-CN"/>
        </w:rPr>
        <w:t>，</w:t>
      </w:r>
      <w:r>
        <w:rPr>
          <w:rFonts w:hint="eastAsia" w:ascii="仿宋" w:hAnsi="仿宋" w:eastAsia="仿宋" w:cs="仿宋"/>
          <w:sz w:val="32"/>
          <w:szCs w:val="32"/>
        </w:rPr>
        <w:t>离退休</w:t>
      </w:r>
      <w:r>
        <w:rPr>
          <w:rFonts w:hint="eastAsia" w:ascii="仿宋" w:hAnsi="仿宋" w:eastAsia="仿宋" w:cs="仿宋"/>
          <w:sz w:val="32"/>
          <w:szCs w:val="32"/>
          <w:lang w:val="en-US" w:eastAsia="zh-CN"/>
        </w:rPr>
        <w:t>4</w:t>
      </w:r>
      <w:r>
        <w:rPr>
          <w:rFonts w:hint="eastAsia" w:ascii="仿宋" w:hAnsi="仿宋" w:eastAsia="仿宋" w:cs="仿宋"/>
          <w:sz w:val="32"/>
          <w:szCs w:val="32"/>
        </w:rPr>
        <w:t>人。</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left"/>
        <w:textAlignment w:val="baseline"/>
        <w:rPr>
          <w:rFonts w:hint="eastAsia" w:ascii="华文楷体" w:hAnsi="华文楷体" w:eastAsia="华文楷体" w:cs="华文楷体"/>
          <w:b/>
          <w:bCs w:val="0"/>
          <w:sz w:val="32"/>
          <w:szCs w:val="32"/>
          <w:lang w:val="en-US" w:eastAsia="zh-CN"/>
        </w:rPr>
      </w:pPr>
      <w:r>
        <w:rPr>
          <w:rFonts w:hint="eastAsia" w:ascii="华文楷体" w:hAnsi="华文楷体" w:eastAsia="华文楷体" w:cs="华文楷体"/>
          <w:b/>
          <w:bCs w:val="0"/>
          <w:sz w:val="32"/>
          <w:szCs w:val="32"/>
          <w:lang w:val="en-US" w:eastAsia="zh-CN"/>
        </w:rPr>
        <w:t>主要职能职责：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(一)贯彻执行有关交通运输行政执法的法律、法规、规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章、政策;组织拟订全县交通运输综合行政执法工作规划并组织实施。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根据交通运输行政管理法律、法规、规章具体行使本县辖区内公路路政、道路运政、城市客运、水路运政、航道行政、港口行政、地方海事行政以及按具体管理权限行使工程质量监督管理等执法门类的行政处罚以及与行政处罚相关的行政检查、行政强制等方面的行政执法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(三)负责处理职责范围内的违法违规行为投诉举报，依法纠正和查处有关违法违规行为。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(四)负责有关交通运输行政执法的法律、法规和规章的普法宣传工作。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(五)负责交通运输行政执法队伍的教育培训、考核、监督和行风建设工作。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(六)负责全县道路运输战备车辆及重点物资运输的应急保障组织调度。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(七)承担职责范围内的安全、维稳工作。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(八)承担县委县政府及县交通运输局交办的其他任务。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b/>
          <w:bCs w:val="0"/>
          <w:sz w:val="32"/>
          <w:szCs w:val="32"/>
          <w:lang w:val="en-US" w:eastAsia="zh-CN"/>
        </w:rPr>
        <w:t>202</w:t>
      </w:r>
      <w:r>
        <w:rPr>
          <w:rFonts w:hint="eastAsia" w:ascii="仿宋" w:hAnsi="仿宋" w:eastAsia="仿宋" w:cs="仿宋"/>
          <w:sz w:val="32"/>
          <w:szCs w:val="32"/>
          <w:lang w:val="en-US" w:eastAsia="zh-CN"/>
        </w:rPr>
        <w:t>3年重点工作：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行政执法工作：夯实法制工作基础，通过多种方式和各种渠道加大法制宣传教育力度。组织开展以“保障公路畅通.服务人民出行”为主题的路政宣传月集中宣传活动。加强道路管理，不断优化交通执法环境，在全县交通运输行业大力开展以“人人讲安全、个个会应急”为主题的“安全生产月”活动。 加强公路巡查和违法查处，全年公路巡查达6700余公里，督促源头企业落实治超治限工作的主体责任。约谈放行超限运输车辆出场货运源头单位4家，责令改正38家，责令停业整顿运输企业1家，并对19家货运源头单位超限配载货物放行出场的行为依规给予处罚。排查源头企业，下发安全隐患整改32份，处罚17家。查处超限超载运输车辆390台，卸载货物550吨，约谈企业5家。清理违法设置非公路标志1927块，拆除在公路用地内乱搭乱建37处；清除占用公路堆放建材、渣土125处，劝导规范公路用地范围内占道经营132起，全力打造通畅、安全、有序的路域环境。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二、加强铁路沿线巡查整改，发现危及铁路运行安全隐患76处，督促各乡镇及相关部门整改76处，清理铁路周边垃圾20余车，利用安全宣传月对铁路沿线学校进行上安全教育课，发放宣传资料。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三、加强水路巡查督导，对全县24个客运渡口、渡船进行了督导，水上联合执法行动2次，共出动人员20人次，出动车辆5台次，切割“三无”船泊20艘。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运输市场治理整顿。一是加大对客运站场周边整治。针对汽车总站占道拉客现象，成立专项整治组。二是利用春运、暑运、黄金周等节假日强化协作联动，严厉打击无牌无证驾驶、客运车辆超员超载、非法营运、货车超载等重点违法行为。三是严厉打击非法网络预约出租汽车违法违规经营行为与非法营运扰乱客运市场秩序行动；严抓出租车和公交车服务质量，严厉整治出租车不打表、乱收费、服务态度差以及公交车拒载老年人等，全力净化道路交通环境，保障广大人民群众的出行安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路域环境整治、蓝天保卫战工作。一是加大宣传力度。在“路政宣传月”对公路沿线群众发放宣传单，到源头企业上门宣传，利用宣传车和“村村通”巡回广播宣传。二是扎实开展专项整治工作。先后组织开展了违法非公路标志整治、公路用地范围内堆积物整治，全力打造通畅、安全、有序的路域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）部门整体支出情况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全年预算执行总收入2266.97万元，其中一般公共预算财政拨款收入2089.37万元、其他收入177.60万元；全年预算执行总支出2266.97万元，其中一般公共预算财政拨款支出2089.37万元、其他资金支出177.60万元。</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本年度预算收支平衡。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keepNext w:val="0"/>
        <w:keepLines w:val="0"/>
        <w:pageBreakBefore w:val="0"/>
        <w:widowControl/>
        <w:kinsoku/>
        <w:wordWrap/>
        <w:overflowPunct/>
        <w:topLinePunct w:val="0"/>
        <w:autoSpaceDE/>
        <w:autoSpaceDN/>
        <w:bidi w:val="0"/>
        <w:spacing w:line="560" w:lineRule="exact"/>
        <w:ind w:firstLine="640"/>
        <w:textAlignment w:val="auto"/>
        <w:rPr>
          <w:rFonts w:hint="eastAsia"/>
          <w:color w:val="000000" w:themeColor="text1"/>
          <w14:textFill>
            <w14:solidFill>
              <w14:schemeClr w14:val="tx1"/>
            </w14:solidFill>
          </w14:textFill>
        </w:rPr>
      </w:pPr>
      <w:bookmarkStart w:id="0" w:name="_GoBack"/>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年度基本支出</w:t>
      </w:r>
      <w:r>
        <w:rPr>
          <w:rFonts w:hint="eastAsia" w:ascii="仿宋_GB2312" w:hAnsi="仿宋" w:eastAsia="仿宋_GB2312"/>
          <w:color w:val="000000" w:themeColor="text1"/>
          <w:sz w:val="32"/>
          <w:szCs w:val="32"/>
          <w14:textFill>
            <w14:solidFill>
              <w14:schemeClr w14:val="tx1"/>
            </w14:solidFill>
          </w14:textFill>
        </w:rPr>
        <w:t>2266.97万元</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其中人员经费</w:t>
      </w:r>
      <w:r>
        <w:rPr>
          <w:rFonts w:hint="eastAsia" w:ascii="仿宋_GB2312" w:hAnsi="仿宋" w:eastAsia="仿宋_GB2312"/>
          <w:color w:val="000000" w:themeColor="text1"/>
          <w:sz w:val="32"/>
          <w:szCs w:val="32"/>
          <w14:textFill>
            <w14:solidFill>
              <w14:schemeClr w14:val="tx1"/>
            </w14:solidFill>
          </w14:textFill>
        </w:rPr>
        <w:t>1426.48</w:t>
      </w:r>
      <w:r>
        <w:rPr>
          <w:rFonts w:hint="eastAsia" w:ascii="仿宋" w:hAnsi="仿宋" w:eastAsia="仿宋" w:cs="仿宋"/>
          <w:color w:val="000000" w:themeColor="text1"/>
          <w:sz w:val="30"/>
          <w:szCs w:val="30"/>
          <w:lang w:val="en-US" w:eastAsia="zh-CN"/>
          <w14:textFill>
            <w14:solidFill>
              <w14:schemeClr w14:val="tx1"/>
            </w14:solidFill>
          </w14:textFill>
        </w:rPr>
        <w:t>万元，公用经费</w:t>
      </w:r>
      <w:r>
        <w:rPr>
          <w:rFonts w:hint="eastAsia" w:ascii="仿宋_GB2312" w:hAnsi="仿宋" w:eastAsia="仿宋_GB2312"/>
          <w:color w:val="000000" w:themeColor="text1"/>
          <w:sz w:val="32"/>
          <w:szCs w:val="32"/>
          <w14:textFill>
            <w14:solidFill>
              <w14:schemeClr w14:val="tx1"/>
            </w14:solidFill>
          </w14:textFill>
        </w:rPr>
        <w:t>840.49</w:t>
      </w:r>
      <w:r>
        <w:rPr>
          <w:rFonts w:hint="eastAsia" w:ascii="仿宋" w:hAnsi="仿宋" w:eastAsia="仿宋" w:cs="仿宋"/>
          <w:color w:val="000000" w:themeColor="text1"/>
          <w:sz w:val="30"/>
          <w:szCs w:val="30"/>
          <w:lang w:val="en-US" w:eastAsia="zh-CN"/>
          <w14:textFill>
            <w14:solidFill>
              <w14:schemeClr w14:val="tx1"/>
            </w14:solidFill>
          </w14:textFill>
        </w:rPr>
        <w:t>万元，</w:t>
      </w:r>
      <w:r>
        <w:rPr>
          <w:rFonts w:hint="eastAsia" w:ascii="仿宋" w:hAnsi="仿宋" w:eastAsia="仿宋" w:cs="仿宋"/>
          <w:color w:val="000000" w:themeColor="text1"/>
          <w:sz w:val="30"/>
          <w:szCs w:val="30"/>
          <w14:textFill>
            <w14:solidFill>
              <w14:schemeClr w14:val="tx1"/>
            </w14:solidFill>
          </w14:textFill>
        </w:rPr>
        <w:t>用于保障单位机构正常运转、完成日常工作任务而发生的各项支出，包括用于基本工资、津贴补贴等人员经费以及办公费、印刷费、水电费及办公设备购置等日常公用经费。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项目支出</w:t>
      </w:r>
      <w:r>
        <w:rPr>
          <w:rFonts w:hint="eastAsia" w:ascii="仿宋" w:hAnsi="仿宋" w:eastAsia="仿宋" w:cs="仿宋"/>
          <w:color w:val="000000" w:themeColor="text1"/>
          <w:sz w:val="32"/>
          <w:szCs w:val="32"/>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napToGrid w:val="0"/>
          <w:color w:val="FF0000"/>
          <w:spacing w:val="0"/>
          <w:kern w:val="0"/>
          <w:position w:val="0"/>
          <w:sz w:val="32"/>
          <w:szCs w:val="32"/>
          <w:lang w:val="en-US" w:eastAsia="zh-CN" w:bidi="ar-SA"/>
        </w:rPr>
      </w:pP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年度</w:t>
      </w:r>
      <w:r>
        <w:rPr>
          <w:rFonts w:hint="eastAsia" w:ascii="仿宋" w:hAnsi="仿宋" w:eastAsia="仿宋" w:cs="仿宋"/>
          <w:color w:val="000000" w:themeColor="text1"/>
          <w:sz w:val="30"/>
          <w:szCs w:val="30"/>
          <w:lang w:eastAsia="zh-CN"/>
          <w14:textFill>
            <w14:solidFill>
              <w14:schemeClr w14:val="tx1"/>
            </w14:solidFill>
          </w14:textFill>
        </w:rPr>
        <w:t>项目</w:t>
      </w:r>
      <w:r>
        <w:rPr>
          <w:rFonts w:hint="eastAsia" w:ascii="仿宋" w:hAnsi="仿宋" w:eastAsia="仿宋" w:cs="仿宋"/>
          <w:color w:val="000000" w:themeColor="text1"/>
          <w:sz w:val="30"/>
          <w:szCs w:val="30"/>
          <w14:textFill>
            <w14:solidFill>
              <w14:schemeClr w14:val="tx1"/>
            </w14:solidFill>
          </w14:textFill>
        </w:rPr>
        <w:t>支出</w:t>
      </w:r>
      <w:r>
        <w:rPr>
          <w:rFonts w:hint="eastAsia" w:ascii="仿宋" w:hAnsi="仿宋" w:eastAsia="仿宋" w:cs="仿宋"/>
          <w:color w:val="000000" w:themeColor="text1"/>
          <w:sz w:val="32"/>
          <w:szCs w:val="32"/>
          <w:lang w:val="en-US" w:eastAsia="zh-CN"/>
          <w14:textFill>
            <w14:solidFill>
              <w14:schemeClr w14:val="tx1"/>
            </w14:solidFill>
          </w14:textFill>
        </w:rPr>
        <w:t>576.2</w:t>
      </w:r>
      <w:r>
        <w:rPr>
          <w:rFonts w:hint="eastAsia" w:ascii="仿宋" w:hAnsi="仿宋" w:eastAsia="仿宋" w:cs="仿宋"/>
          <w:color w:val="000000" w:themeColor="text1"/>
          <w:sz w:val="30"/>
          <w:szCs w:val="30"/>
          <w14:textFill>
            <w14:solidFill>
              <w14:schemeClr w14:val="tx1"/>
            </w14:solidFill>
          </w14:textFill>
        </w:rPr>
        <w:t>万元，</w:t>
      </w:r>
      <w:r>
        <w:rPr>
          <w:rFonts w:hint="eastAsia" w:ascii="仿宋" w:hAnsi="仿宋" w:eastAsia="仿宋" w:cs="仿宋"/>
          <w:color w:val="000000" w:themeColor="text1"/>
          <w:sz w:val="30"/>
          <w:szCs w:val="30"/>
          <w:lang w:val="en-US" w:eastAsia="zh-CN"/>
          <w14:textFill>
            <w14:solidFill>
              <w14:schemeClr w14:val="tx1"/>
            </w14:solidFill>
          </w14:textFill>
        </w:rPr>
        <w:t>主要</w:t>
      </w:r>
      <w:r>
        <w:rPr>
          <w:rFonts w:hint="eastAsia" w:ascii="仿宋" w:hAnsi="仿宋" w:eastAsia="仿宋" w:cs="仿宋"/>
          <w:color w:val="000000" w:themeColor="text1"/>
          <w:spacing w:val="6"/>
          <w:kern w:val="0"/>
          <w:sz w:val="29"/>
          <w:szCs w:val="29"/>
          <w14:textFill>
            <w14:solidFill>
              <w14:schemeClr w14:val="tx1"/>
            </w14:solidFill>
          </w14:textFill>
        </w:rPr>
        <w:t>用于加强公路、铁路、水路巡查和违法查处，落实治超治限、排查源头企业、安全隐患整改、清理违法设置非公路标志、拆除在公路用地内乱搭乱建、清除占用公路乱堆</w:t>
      </w:r>
      <w:bookmarkEnd w:id="0"/>
      <w:r>
        <w:rPr>
          <w:rFonts w:hint="eastAsia" w:ascii="仿宋" w:hAnsi="仿宋" w:eastAsia="仿宋" w:cs="仿宋"/>
          <w:spacing w:val="6"/>
          <w:kern w:val="0"/>
          <w:sz w:val="29"/>
          <w:szCs w:val="29"/>
        </w:rPr>
        <w:t>放建材和渣土、劝导规范公路用地等工作形成经费支出。全力打造通畅、安全、有序的路域环境</w:t>
      </w:r>
      <w:r>
        <w:rPr>
          <w:rFonts w:hint="eastAsia" w:ascii="仿宋_GB2312" w:hAnsi="仿宋_GB2312" w:eastAsia="仿宋_GB2312" w:cs="仿宋_GB2312"/>
          <w:snapToGrid w:val="0"/>
          <w:color w:val="000000"/>
          <w:spacing w:val="0"/>
          <w:kern w:val="0"/>
          <w:position w:val="0"/>
          <w:sz w:val="32"/>
          <w:szCs w:val="32"/>
          <w:lang w:val="en-US" w:eastAsia="zh-CN" w:bidi="ar-SA"/>
        </w:rPr>
        <w:t>，保障全县公路和水路运输畅通。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w:t>
      </w:r>
      <w:r>
        <w:rPr>
          <w:rFonts w:hint="eastAsia" w:ascii="仿宋" w:hAnsi="仿宋" w:eastAsia="仿宋" w:cs="仿宋"/>
          <w:sz w:val="32"/>
          <w:szCs w:val="32"/>
        </w:rPr>
        <w:t>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3.66万元，</w:t>
      </w:r>
      <w:r>
        <w:rPr>
          <w:rFonts w:hint="eastAsia" w:ascii="仿宋_GB2312" w:hAnsi="仿宋" w:eastAsia="仿宋_GB2312"/>
          <w:sz w:val="32"/>
          <w:szCs w:val="32"/>
        </w:rPr>
        <w:t>因本单位属今年新增预决算编制单位所以没有与上年对比数据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w:t>
      </w:r>
      <w:r>
        <w:rPr>
          <w:rFonts w:hint="eastAsia" w:ascii="仿宋" w:hAnsi="仿宋" w:eastAsia="仿宋" w:cs="仿宋"/>
          <w:sz w:val="32"/>
          <w:szCs w:val="32"/>
        </w:rPr>
        <w:t>公务用车购置</w:t>
      </w:r>
      <w:r>
        <w:rPr>
          <w:rFonts w:hint="eastAsia" w:ascii="仿宋" w:hAnsi="仿宋" w:eastAsia="仿宋" w:cs="仿宋"/>
          <w:sz w:val="32"/>
          <w:szCs w:val="32"/>
          <w:lang w:eastAsia="zh-CN"/>
        </w:rPr>
        <w:t>费用；</w:t>
      </w:r>
      <w:r>
        <w:rPr>
          <w:rFonts w:hint="eastAsia" w:ascii="仿宋" w:hAnsi="仿宋" w:eastAsia="仿宋" w:cs="仿宋"/>
          <w:sz w:val="32"/>
          <w:szCs w:val="32"/>
        </w:rPr>
        <w:t>公务用车运行</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CN"/>
        </w:rPr>
        <w:t>维护</w:t>
      </w:r>
      <w:r>
        <w:rPr>
          <w:rFonts w:hint="eastAsia" w:ascii="仿宋" w:hAnsi="仿宋" w:eastAsia="仿宋" w:cs="仿宋"/>
          <w:sz w:val="32"/>
          <w:szCs w:val="32"/>
        </w:rPr>
        <w:t>费</w:t>
      </w:r>
      <w:r>
        <w:rPr>
          <w:rFonts w:hint="eastAsia" w:ascii="仿宋_GB2312" w:hAnsi="仿宋" w:eastAsia="仿宋_GB2312"/>
          <w:sz w:val="32"/>
          <w:szCs w:val="32"/>
        </w:rPr>
        <w:t>128.72</w:t>
      </w:r>
      <w:r>
        <w:rPr>
          <w:rFonts w:hint="eastAsia" w:ascii="仿宋" w:hAnsi="仿宋" w:eastAsia="仿宋" w:cs="仿宋"/>
          <w:sz w:val="32"/>
          <w:szCs w:val="32"/>
          <w:lang w:val="en-US" w:eastAsia="zh-CN"/>
        </w:rPr>
        <w:t>万元，</w:t>
      </w:r>
      <w:r>
        <w:rPr>
          <w:rFonts w:hint="eastAsia" w:ascii="仿宋_GB2312" w:hAnsi="仿宋" w:eastAsia="仿宋_GB2312"/>
          <w:sz w:val="32"/>
          <w:szCs w:val="32"/>
        </w:rPr>
        <w:t>因本单位属今年新增预决算编制单位所以没有与上年对比数据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396" w:lineRule="auto"/>
        <w:ind w:left="15" w:leftChars="7" w:right="11" w:firstLine="604" w:firstLineChars="200"/>
        <w:jc w:val="left"/>
        <w:textAlignment w:val="baseline"/>
        <w:rPr>
          <w:rFonts w:hint="default" w:ascii="仿宋" w:hAnsi="仿宋" w:eastAsia="仿宋" w:cs="仿宋"/>
          <w:sz w:val="32"/>
          <w:szCs w:val="32"/>
          <w:lang w:val="en-US" w:eastAsia="zh-CN"/>
        </w:rPr>
      </w:pPr>
      <w:r>
        <w:rPr>
          <w:rFonts w:hint="eastAsia" w:ascii="仿宋" w:hAnsi="仿宋" w:eastAsia="仿宋" w:cs="仿宋"/>
          <w:spacing w:val="6"/>
          <w:kern w:val="0"/>
          <w:sz w:val="29"/>
          <w:szCs w:val="29"/>
        </w:rPr>
        <w:t>经过全年工作，本单位支出绩效目标完成情况良好，有效完成本年度交通</w:t>
      </w:r>
      <w:r>
        <w:rPr>
          <w:rFonts w:hint="eastAsia" w:ascii="仿宋" w:hAnsi="仿宋" w:eastAsia="仿宋" w:cs="仿宋"/>
          <w:spacing w:val="6"/>
          <w:kern w:val="0"/>
          <w:sz w:val="29"/>
          <w:szCs w:val="29"/>
          <w:lang w:val="en-US" w:eastAsia="zh-CN"/>
        </w:rPr>
        <w:t>运输行业</w:t>
      </w:r>
      <w:r>
        <w:rPr>
          <w:rFonts w:hint="eastAsia" w:ascii="仿宋" w:hAnsi="仿宋" w:eastAsia="仿宋" w:cs="仿宋"/>
          <w:spacing w:val="6"/>
          <w:kern w:val="0"/>
          <w:sz w:val="29"/>
          <w:szCs w:val="29"/>
        </w:rPr>
        <w:t>管理工作，为社会经济发展服务，促进人民安全平安出行，增强</w:t>
      </w:r>
      <w:r>
        <w:rPr>
          <w:rFonts w:hint="eastAsia" w:ascii="仿宋" w:hAnsi="仿宋" w:eastAsia="仿宋" w:cs="仿宋"/>
          <w:spacing w:val="6"/>
          <w:kern w:val="0"/>
          <w:sz w:val="29"/>
          <w:szCs w:val="29"/>
          <w:lang w:val="en-US" w:eastAsia="zh-CN"/>
        </w:rPr>
        <w:t>了</w:t>
      </w:r>
      <w:r>
        <w:rPr>
          <w:rFonts w:hint="eastAsia" w:ascii="仿宋" w:hAnsi="仿宋" w:eastAsia="仿宋" w:cs="仿宋"/>
          <w:spacing w:val="6"/>
          <w:kern w:val="0"/>
          <w:sz w:val="29"/>
          <w:szCs w:val="29"/>
        </w:rPr>
        <w:t>人民群众的幸福感、获得感，保障了全县公路和水路运输畅通。 本部门所有支出全部纳入部门绩效管理。本报</w:t>
      </w:r>
      <w:r>
        <w:rPr>
          <w:rFonts w:hint="eastAsia" w:ascii="仿宋" w:hAnsi="仿宋" w:eastAsia="仿宋" w:cs="仿宋"/>
          <w:spacing w:val="6"/>
          <w:kern w:val="0"/>
          <w:sz w:val="29"/>
          <w:szCs w:val="29"/>
          <w:lang w:val="en-US" w:eastAsia="zh-CN"/>
        </w:rPr>
        <w:t>告</w:t>
      </w:r>
      <w:r>
        <w:rPr>
          <w:rFonts w:hint="eastAsia" w:ascii="仿宋" w:hAnsi="仿宋" w:eastAsia="仿宋" w:cs="仿宋"/>
          <w:spacing w:val="6"/>
          <w:kern w:val="0"/>
          <w:sz w:val="29"/>
          <w:szCs w:val="29"/>
        </w:rPr>
        <w:t>依据本单位登记完整、核对无误的账簿记录和其他有关会计核算资料编制，账证相符、账实相符、账表相符、表表相符，真实、准确、完整地反映了本单位财务结果和财务状况。</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630" w:leftChars="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、存在的问题</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（一）运行经费缺口大，人头经费预算相对较低，工作推进无法达到预期目标。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（二）本单位缺少专业的财务工作人员，对相关制度、政策、规定、流程不是很专业。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0"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八、改进措施及有关建议</w:t>
      </w:r>
    </w:p>
    <w:p>
      <w:pPr>
        <w:keepNext w:val="0"/>
        <w:keepLines w:val="0"/>
        <w:pageBreakBefore w:val="0"/>
        <w:wordWrap/>
        <w:overflowPunct/>
        <w:topLinePunct w:val="0"/>
        <w:bidi w:val="0"/>
        <w:spacing w:line="560" w:lineRule="exact"/>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加大经费支持力度，增派引进财务专业人员，加强学习。</w:t>
      </w:r>
    </w:p>
    <w:p>
      <w:pPr>
        <w:pStyle w:val="2"/>
        <w:rPr>
          <w:rFonts w:hint="default"/>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报告包括以下附件：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1.部门整体支出绩效评价基础数据表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32"/>
          <w:szCs w:val="32"/>
        </w:rPr>
      </w:pPr>
    </w:p>
    <w:p>
      <w:pPr>
        <w:pStyle w:val="2"/>
        <w:ind w:left="0" w:leftChars="0" w:firstLine="0" w:firstLineChars="0"/>
        <w:rPr>
          <w:rFonts w:hint="eastAsia" w:ascii="仿宋" w:hAnsi="仿宋" w:eastAsia="仿宋" w:cs="仿宋"/>
          <w:kern w:val="0"/>
          <w:sz w:val="32"/>
          <w:szCs w:val="32"/>
        </w:rPr>
      </w:pPr>
    </w:p>
    <w:p>
      <w:pPr>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rPr>
          <w:rFonts w:hint="eastAsia"/>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1"/>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eastAsia="zh-CN"/>
              </w:rPr>
              <w:t>隆回县交通运输</w:t>
            </w:r>
            <w:r>
              <w:rPr>
                <w:rFonts w:hint="eastAsia" w:ascii="仿宋" w:hAnsi="仿宋" w:eastAsia="仿宋" w:cs="仿宋"/>
                <w:b w:val="0"/>
                <w:bCs w:val="0"/>
                <w:kern w:val="0"/>
                <w:sz w:val="18"/>
                <w:szCs w:val="18"/>
                <w:vertAlign w:val="baseline"/>
                <w:lang w:val="en-US" w:eastAsia="zh-CN"/>
              </w:rPr>
              <w:t>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00" w:type="dxa"/>
            <w:vMerge w:val="restart"/>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139</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133</w:t>
            </w:r>
          </w:p>
        </w:tc>
        <w:tc>
          <w:tcPr>
            <w:tcW w:w="1838"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18"/>
                <w:szCs w:val="18"/>
                <w:vertAlign w:val="baseline"/>
                <w:lang w:eastAsia="zh-CN"/>
              </w:rPr>
            </w:pPr>
            <w:r>
              <w:rPr>
                <w:rFonts w:hint="eastAsia" w:ascii="宋体" w:hAnsi="宋体" w:eastAsia="宋体" w:cs="宋体"/>
                <w:i w:val="0"/>
                <w:color w:val="000000"/>
                <w:kern w:val="0"/>
                <w:sz w:val="22"/>
                <w:szCs w:val="22"/>
                <w:u w:val="none"/>
                <w:lang w:val="en-US" w:eastAsia="zh-CN" w:bidi="ar"/>
              </w:rPr>
              <w:t>95.68%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300" w:type="dxa"/>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0</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42</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138.94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00" w:type="dxa"/>
            <w:vAlign w:val="center"/>
          </w:tcPr>
          <w:p>
            <w:pPr>
              <w:pStyle w:val="2"/>
              <w:numPr>
                <w:ilvl w:val="0"/>
                <w:numId w:val="2"/>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0</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37</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135.28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37</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135.28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18"/>
                <w:szCs w:val="18"/>
                <w:vertAlign w:val="baseline"/>
                <w:lang w:eastAsia="zh-CN"/>
              </w:rPr>
            </w:pPr>
            <w:r>
              <w:rPr>
                <w:rFonts w:hint="eastAsia" w:ascii="宋体" w:hAnsi="宋体" w:eastAsia="宋体" w:cs="宋体"/>
                <w:i w:val="0"/>
                <w:color w:val="000000"/>
                <w:kern w:val="0"/>
                <w:sz w:val="22"/>
                <w:szCs w:val="22"/>
                <w:u w:val="none"/>
                <w:lang w:val="en-US" w:eastAsia="zh-CN" w:bidi="ar"/>
              </w:rPr>
              <w:t>0</w:t>
            </w:r>
          </w:p>
        </w:tc>
        <w:tc>
          <w:tcPr>
            <w:tcW w:w="2099"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18"/>
                <w:szCs w:val="18"/>
                <w:vertAlign w:val="baseline"/>
                <w:lang w:eastAsia="zh-CN"/>
              </w:rPr>
            </w:pPr>
            <w:r>
              <w:rPr>
                <w:rFonts w:hint="eastAsia" w:ascii="宋体" w:hAnsi="宋体" w:eastAsia="宋体" w:cs="宋体"/>
                <w:i w:val="0"/>
                <w:color w:val="000000"/>
                <w:kern w:val="0"/>
                <w:sz w:val="22"/>
                <w:szCs w:val="22"/>
                <w:u w:val="none"/>
                <w:lang w:val="en-US" w:eastAsia="zh-CN" w:bidi="ar"/>
              </w:rPr>
              <w:t>640</w:t>
            </w:r>
          </w:p>
        </w:tc>
        <w:tc>
          <w:tcPr>
            <w:tcW w:w="1838"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18"/>
                <w:szCs w:val="18"/>
                <w:vertAlign w:val="baseline"/>
                <w:lang w:eastAsia="zh-CN"/>
              </w:rPr>
            </w:pPr>
            <w:r>
              <w:rPr>
                <w:rFonts w:hint="eastAsia" w:ascii="宋体" w:hAnsi="宋体" w:eastAsia="宋体" w:cs="宋体"/>
                <w:i w:val="0"/>
                <w:color w:val="000000"/>
                <w:kern w:val="0"/>
                <w:sz w:val="22"/>
                <w:szCs w:val="22"/>
                <w:u w:val="none"/>
                <w:lang w:val="en-US" w:eastAsia="zh-CN" w:bidi="ar"/>
              </w:rPr>
              <w:t>576.2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18"/>
                <w:szCs w:val="18"/>
                <w:vertAlign w:val="baseline"/>
                <w:lang w:eastAsia="zh-CN"/>
              </w:rPr>
            </w:pPr>
            <w:r>
              <w:rPr>
                <w:rFonts w:hint="eastAsia" w:ascii="宋体" w:hAnsi="宋体" w:eastAsia="宋体" w:cs="宋体"/>
                <w:i w:val="0"/>
                <w:color w:val="000000"/>
                <w:kern w:val="0"/>
                <w:sz w:val="22"/>
                <w:szCs w:val="22"/>
                <w:u w:val="none"/>
                <w:lang w:val="en-US" w:eastAsia="zh-CN" w:bidi="ar"/>
              </w:rPr>
              <w:t>640</w:t>
            </w:r>
          </w:p>
        </w:tc>
        <w:tc>
          <w:tcPr>
            <w:tcW w:w="1838"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18"/>
                <w:szCs w:val="18"/>
                <w:vertAlign w:val="baseline"/>
                <w:lang w:eastAsia="zh-CN"/>
              </w:rPr>
            </w:pPr>
            <w:r>
              <w:rPr>
                <w:rFonts w:hint="eastAsia" w:ascii="宋体" w:hAnsi="宋体" w:eastAsia="宋体" w:cs="宋体"/>
                <w:i w:val="0"/>
                <w:color w:val="000000"/>
                <w:kern w:val="0"/>
                <w:sz w:val="22"/>
                <w:szCs w:val="22"/>
                <w:u w:val="none"/>
                <w:lang w:val="en-US" w:eastAsia="zh-CN" w:bidi="ar"/>
              </w:rPr>
              <w:t>576.2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cs="宋体"/>
                <w:i w:val="0"/>
                <w:color w:val="000000"/>
                <w:kern w:val="0"/>
                <w:sz w:val="22"/>
                <w:szCs w:val="22"/>
                <w:u w:val="none"/>
                <w:lang w:val="en-US" w:eastAsia="zh-CN" w:bidi="ar"/>
              </w:rPr>
              <w:t>0</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231.2</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cs="宋体"/>
                <w:i w:val="0"/>
                <w:color w:val="000000"/>
                <w:kern w:val="0"/>
                <w:sz w:val="22"/>
                <w:szCs w:val="22"/>
                <w:u w:val="none"/>
                <w:lang w:val="en-US" w:eastAsia="zh-CN" w:bidi="ar"/>
              </w:rPr>
              <w:t>0</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173.35</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cs="宋体"/>
                <w:i w:val="0"/>
                <w:color w:val="000000"/>
                <w:kern w:val="0"/>
                <w:sz w:val="22"/>
                <w:szCs w:val="22"/>
                <w:u w:val="none"/>
                <w:lang w:val="en-US" w:eastAsia="zh-CN" w:bidi="ar"/>
              </w:rPr>
              <w:t>0</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33</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cs="宋体"/>
                <w:i w:val="0"/>
                <w:color w:val="000000"/>
                <w:kern w:val="0"/>
                <w:sz w:val="22"/>
                <w:szCs w:val="22"/>
                <w:u w:val="none"/>
                <w:lang w:val="en-US" w:eastAsia="zh-CN" w:bidi="ar"/>
              </w:rPr>
              <w:t>0</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14.85</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cs="宋体"/>
                <w:i w:val="0"/>
                <w:color w:val="000000"/>
                <w:kern w:val="0"/>
                <w:sz w:val="22"/>
                <w:szCs w:val="22"/>
                <w:u w:val="none"/>
                <w:lang w:val="en-US" w:eastAsia="zh-CN" w:bidi="ar"/>
              </w:rPr>
              <w:t>0</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59</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cs="宋体"/>
                <w:i w:val="0"/>
                <w:color w:val="000000"/>
                <w:kern w:val="0"/>
                <w:sz w:val="22"/>
                <w:szCs w:val="22"/>
                <w:u w:val="none"/>
                <w:lang w:val="en-US" w:eastAsia="zh-CN" w:bidi="ar"/>
              </w:rPr>
              <w:t>0</w:t>
            </w:r>
          </w:p>
        </w:tc>
        <w:tc>
          <w:tcPr>
            <w:tcW w:w="2099"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1584.03</w:t>
            </w:r>
          </w:p>
        </w:tc>
        <w:tc>
          <w:tcPr>
            <w:tcW w:w="1838"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1690.77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300" w:type="dxa"/>
            <w:vMerge w:val="restart"/>
            <w:vAlign w:val="center"/>
          </w:tcPr>
          <w:p>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度，为避免出现人员多、浪费大的现象，我单位制定详细的规章制度，从源头上严格把控支出，实行采购审批制度，价格进行比较，择优选取商家，同时实行财务汇审的制度，对每项开支进行审核，杜绝乱用、浪费行为。</w:t>
            </w:r>
          </w:p>
        </w:tc>
      </w:tr>
    </w:tbl>
    <w:p>
      <w:pPr>
        <w:pStyle w:val="8"/>
        <w:bidi w:val="0"/>
        <w:ind w:left="357" w:leftChars="170" w:firstLine="8100" w:firstLineChars="4500"/>
        <w:rPr>
          <w:rFonts w:hint="eastAsia"/>
          <w:lang w:eastAsia="zh-CN"/>
        </w:rPr>
      </w:pPr>
      <w:r>
        <w:rPr>
          <w:rFonts w:hint="eastAsia"/>
          <w:lang w:val="en-US" w:eastAsia="zh-CN"/>
        </w:rPr>
        <w:t xml:space="preserve"> </w:t>
      </w:r>
      <w:r>
        <w:rPr>
          <w:rFonts w:hint="eastAsia"/>
          <w:lang w:eastAsia="zh-CN"/>
        </w:rPr>
        <w:t>说明：“县级专项资金”需要填报基本支出以外的所有县级专项资金情况，“公用经费”填报基本支出中的一般商品和服务支出。</w:t>
      </w:r>
    </w:p>
    <w:p>
      <w:pPr>
        <w:pStyle w:val="2"/>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谢祎   联系电话：18175930208   单位负责人签字：</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10"/>
        <w:tblW w:w="9093" w:type="dxa"/>
        <w:jc w:val="center"/>
        <w:tblLayout w:type="fixed"/>
        <w:tblCellMar>
          <w:top w:w="0" w:type="dxa"/>
          <w:left w:w="108" w:type="dxa"/>
          <w:bottom w:w="0" w:type="dxa"/>
          <w:right w:w="108" w:type="dxa"/>
        </w:tblCellMar>
      </w:tblPr>
      <w:tblGrid>
        <w:gridCol w:w="812"/>
        <w:gridCol w:w="1021"/>
        <w:gridCol w:w="840"/>
        <w:gridCol w:w="1250"/>
        <w:gridCol w:w="325"/>
        <w:gridCol w:w="1065"/>
        <w:gridCol w:w="917"/>
        <w:gridCol w:w="636"/>
        <w:gridCol w:w="727"/>
        <w:gridCol w:w="1500"/>
      </w:tblGrid>
      <w:tr>
        <w:tblPrEx>
          <w:tblCellMar>
            <w:top w:w="0" w:type="dxa"/>
            <w:left w:w="108" w:type="dxa"/>
            <w:bottom w:w="0" w:type="dxa"/>
            <w:right w:w="108" w:type="dxa"/>
          </w:tblCellMar>
        </w:tblPrEx>
        <w:trPr>
          <w:trHeight w:val="44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281" w:type="dxa"/>
            <w:gridSpan w:val="9"/>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eastAsia="仿宋_GB2312"/>
                <w:color w:val="000000"/>
                <w:kern w:val="0"/>
                <w:sz w:val="18"/>
                <w:szCs w:val="18"/>
                <w:lang w:eastAsia="zh-CN"/>
              </w:rPr>
            </w:pPr>
            <w:r>
              <w:rPr>
                <w:rFonts w:hint="eastAsia" w:ascii="仿宋" w:hAnsi="仿宋" w:eastAsia="仿宋" w:cs="仿宋"/>
                <w:b w:val="0"/>
                <w:bCs w:val="0"/>
                <w:kern w:val="0"/>
                <w:sz w:val="18"/>
                <w:szCs w:val="18"/>
                <w:vertAlign w:val="baseline"/>
                <w:lang w:eastAsia="zh-CN"/>
              </w:rPr>
              <w:t>隆回县交通运输</w:t>
            </w:r>
            <w:r>
              <w:rPr>
                <w:rFonts w:hint="eastAsia" w:ascii="仿宋" w:hAnsi="仿宋" w:eastAsia="仿宋" w:cs="仿宋"/>
                <w:b w:val="0"/>
                <w:bCs w:val="0"/>
                <w:kern w:val="0"/>
                <w:sz w:val="18"/>
                <w:szCs w:val="18"/>
                <w:vertAlign w:val="baseline"/>
                <w:lang w:val="en-US" w:eastAsia="zh-CN"/>
              </w:rPr>
              <w:t>综合行政执法大队</w:t>
            </w:r>
          </w:p>
        </w:tc>
      </w:tr>
      <w:tr>
        <w:tblPrEx>
          <w:tblCellMar>
            <w:top w:w="0" w:type="dxa"/>
            <w:left w:w="108" w:type="dxa"/>
            <w:bottom w:w="0" w:type="dxa"/>
            <w:right w:w="108" w:type="dxa"/>
          </w:tblCellMar>
        </w:tblPrEx>
        <w:trPr>
          <w:trHeight w:val="254" w:hRule="atLeast"/>
          <w:jc w:val="center"/>
        </w:trPr>
        <w:tc>
          <w:tcPr>
            <w:tcW w:w="812"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hint="eastAsia" w:eastAsia="仿宋_GB2312"/>
                <w:color w:val="000000"/>
                <w:kern w:val="0"/>
                <w:sz w:val="18"/>
                <w:szCs w:val="18"/>
                <w:lang w:val="en-US" w:eastAsia="zh-CN"/>
              </w:rPr>
              <w:t>(</w:t>
            </w:r>
            <w:r>
              <w:rPr>
                <w:rFonts w:eastAsia="仿宋_GB2312"/>
                <w:color w:val="000000"/>
                <w:kern w:val="0"/>
                <w:sz w:val="18"/>
                <w:szCs w:val="18"/>
              </w:rPr>
              <w:t>万元）</w:t>
            </w:r>
          </w:p>
        </w:tc>
        <w:tc>
          <w:tcPr>
            <w:tcW w:w="186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5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年初预算数</w:t>
            </w:r>
          </w:p>
        </w:tc>
        <w:tc>
          <w:tcPr>
            <w:tcW w:w="1390"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全年预算数</w:t>
            </w:r>
          </w:p>
        </w:tc>
        <w:tc>
          <w:tcPr>
            <w:tcW w:w="91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72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50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31" w:hRule="atLeast"/>
          <w:jc w:val="center"/>
        </w:trPr>
        <w:tc>
          <w:tcPr>
            <w:tcW w:w="812"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86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sz w:val="18"/>
                <w:szCs w:val="18"/>
                <w:lang w:val="en-US" w:eastAsia="zh-CN"/>
              </w:rPr>
            </w:pPr>
            <w:r>
              <w:rPr>
                <w:rFonts w:hint="default" w:ascii="Times New Roman" w:hAnsi="Times New Roman" w:eastAsia="宋体" w:cs="Times New Roman"/>
                <w:i w:val="0"/>
                <w:color w:val="000000"/>
                <w:kern w:val="0"/>
                <w:sz w:val="20"/>
                <w:szCs w:val="20"/>
                <w:u w:val="none"/>
                <w:lang w:val="en-US" w:eastAsia="zh-CN" w:bidi="ar"/>
              </w:rPr>
              <w:t>2224.03</w:t>
            </w:r>
          </w:p>
        </w:tc>
        <w:tc>
          <w:tcPr>
            <w:tcW w:w="139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sz w:val="18"/>
                <w:szCs w:val="18"/>
                <w:lang w:val="en-US" w:eastAsia="zh-CN"/>
              </w:rPr>
            </w:pPr>
            <w:r>
              <w:rPr>
                <w:rFonts w:hint="default" w:ascii="Times New Roman" w:hAnsi="Times New Roman" w:eastAsia="宋体" w:cs="Times New Roman"/>
                <w:i w:val="0"/>
                <w:color w:val="000000"/>
                <w:kern w:val="0"/>
                <w:sz w:val="20"/>
                <w:szCs w:val="20"/>
                <w:u w:val="none"/>
                <w:lang w:val="en-US" w:eastAsia="zh-CN" w:bidi="ar"/>
              </w:rPr>
              <w:t>2266.97</w:t>
            </w:r>
          </w:p>
        </w:tc>
        <w:tc>
          <w:tcPr>
            <w:tcW w:w="9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sz w:val="18"/>
                <w:szCs w:val="18"/>
                <w:lang w:val="en-US" w:eastAsia="zh-CN"/>
              </w:rPr>
            </w:pPr>
            <w:r>
              <w:rPr>
                <w:rFonts w:hint="default" w:ascii="Times New Roman" w:hAnsi="Times New Roman" w:eastAsia="宋体" w:cs="Times New Roman"/>
                <w:i w:val="0"/>
                <w:color w:val="000000"/>
                <w:kern w:val="0"/>
                <w:sz w:val="20"/>
                <w:szCs w:val="20"/>
                <w:u w:val="none"/>
                <w:lang w:val="en-US" w:eastAsia="zh-CN" w:bidi="ar"/>
              </w:rPr>
              <w:t>2266.97</w:t>
            </w:r>
          </w:p>
        </w:tc>
        <w:tc>
          <w:tcPr>
            <w:tcW w:w="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sz w:val="18"/>
                <w:szCs w:val="18"/>
              </w:rPr>
            </w:pPr>
            <w:r>
              <w:rPr>
                <w:rFonts w:hint="default" w:ascii="Times New Roman" w:hAnsi="Times New Roman" w:eastAsia="宋体" w:cs="Times New Roman"/>
                <w:i w:val="0"/>
                <w:color w:val="000000"/>
                <w:kern w:val="0"/>
                <w:sz w:val="20"/>
                <w:szCs w:val="20"/>
                <w:u w:val="none"/>
                <w:lang w:val="en-US" w:eastAsia="zh-CN" w:bidi="ar"/>
              </w:rPr>
              <w:t>10</w:t>
            </w:r>
          </w:p>
        </w:tc>
        <w:tc>
          <w:tcPr>
            <w:tcW w:w="7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sz w:val="18"/>
                <w:szCs w:val="18"/>
                <w:lang w:val="en-US" w:eastAsia="zh-CN"/>
              </w:rPr>
            </w:pPr>
            <w:r>
              <w:rPr>
                <w:rFonts w:hint="default" w:ascii="Times New Roman" w:hAnsi="Times New Roman" w:eastAsia="宋体" w:cs="Times New Roman"/>
                <w:i w:val="0"/>
                <w:color w:val="000000"/>
                <w:kern w:val="0"/>
                <w:sz w:val="20"/>
                <w:szCs w:val="20"/>
                <w:u w:val="none"/>
                <w:lang w:val="en-US" w:eastAsia="zh-CN" w:bidi="ar"/>
              </w:rPr>
              <w:t>100.00%</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sz w:val="18"/>
                <w:szCs w:val="18"/>
                <w:lang w:val="en-US" w:eastAsia="zh-CN"/>
              </w:rPr>
            </w:pPr>
            <w:r>
              <w:rPr>
                <w:rFonts w:hint="default" w:ascii="Times New Roman" w:hAnsi="Times New Roman" w:eastAsia="宋体" w:cs="Times New Roman"/>
                <w:i w:val="0"/>
                <w:color w:val="000000"/>
                <w:kern w:val="0"/>
                <w:sz w:val="20"/>
                <w:szCs w:val="20"/>
                <w:u w:val="none"/>
                <w:lang w:val="en-US" w:eastAsia="zh-CN" w:bidi="ar"/>
              </w:rPr>
              <w:t>10.00</w:t>
            </w:r>
          </w:p>
        </w:tc>
      </w:tr>
      <w:tr>
        <w:tblPrEx>
          <w:tblCellMar>
            <w:top w:w="0" w:type="dxa"/>
            <w:left w:w="108" w:type="dxa"/>
            <w:bottom w:w="0" w:type="dxa"/>
            <w:right w:w="108" w:type="dxa"/>
          </w:tblCellMar>
        </w:tblPrEx>
        <w:trPr>
          <w:trHeight w:val="214"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501"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按收入性质分：</w:t>
            </w:r>
          </w:p>
        </w:tc>
        <w:tc>
          <w:tcPr>
            <w:tcW w:w="3780"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501" w:type="dxa"/>
            <w:gridSpan w:val="5"/>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eastAsia="仿宋_GB2312"/>
                <w:color w:val="000000"/>
                <w:kern w:val="0"/>
                <w:sz w:val="18"/>
                <w:szCs w:val="18"/>
              </w:rPr>
            </w:pPr>
            <w:r>
              <w:rPr>
                <w:rFonts w:hint="eastAsia" w:eastAsia="仿宋_GB2312"/>
                <w:color w:val="000000"/>
                <w:kern w:val="0"/>
                <w:sz w:val="18"/>
                <w:szCs w:val="18"/>
                <w:lang w:val="en-US" w:eastAsia="zh-CN"/>
              </w:rPr>
              <w:t>一般公共预算</w:t>
            </w:r>
            <w:r>
              <w:rPr>
                <w:rFonts w:eastAsia="仿宋_GB2312"/>
                <w:color w:val="000000"/>
                <w:kern w:val="0"/>
                <w:sz w:val="18"/>
                <w:szCs w:val="18"/>
              </w:rPr>
              <w:t>：</w:t>
            </w:r>
            <w:r>
              <w:rPr>
                <w:rFonts w:hint="eastAsia" w:eastAsia="仿宋_GB2312"/>
                <w:color w:val="000000"/>
                <w:kern w:val="0"/>
                <w:sz w:val="18"/>
                <w:szCs w:val="18"/>
              </w:rPr>
              <w:t>2089.37</w:t>
            </w:r>
          </w:p>
        </w:tc>
        <w:tc>
          <w:tcPr>
            <w:tcW w:w="3780" w:type="dxa"/>
            <w:gridSpan w:val="4"/>
            <w:tcBorders>
              <w:top w:val="nil"/>
              <w:left w:val="nil"/>
              <w:bottom w:val="single" w:color="auto" w:sz="4" w:space="0"/>
              <w:right w:val="single" w:color="auto" w:sz="4" w:space="0"/>
            </w:tcBorders>
            <w:noWrap w:val="0"/>
            <w:vAlign w:val="center"/>
          </w:tcPr>
          <w:p>
            <w:pPr>
              <w:spacing w:line="240" w:lineRule="exact"/>
              <w:ind w:firstLine="900" w:firstLineChars="50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基本</w:t>
            </w:r>
            <w:r>
              <w:rPr>
                <w:rFonts w:hint="eastAsia" w:eastAsia="仿宋_GB2312"/>
                <w:color w:val="000000"/>
                <w:kern w:val="0"/>
                <w:sz w:val="18"/>
                <w:szCs w:val="18"/>
                <w:lang w:eastAsia="zh-CN"/>
              </w:rPr>
              <w:t>支出</w:t>
            </w:r>
            <w:r>
              <w:rPr>
                <w:rFonts w:eastAsia="仿宋_GB2312"/>
                <w:color w:val="000000"/>
                <w:kern w:val="0"/>
                <w:sz w:val="18"/>
                <w:szCs w:val="18"/>
              </w:rPr>
              <w:t>：</w:t>
            </w:r>
            <w:r>
              <w:rPr>
                <w:rFonts w:hint="eastAsia" w:eastAsia="仿宋_GB2312"/>
                <w:color w:val="000000"/>
                <w:kern w:val="0"/>
                <w:sz w:val="18"/>
                <w:szCs w:val="18"/>
                <w:lang w:val="en-US" w:eastAsia="zh-CN"/>
              </w:rPr>
              <w:t>1690.77</w:t>
            </w:r>
          </w:p>
        </w:tc>
      </w:tr>
      <w:tr>
        <w:tblPrEx>
          <w:tblCellMar>
            <w:top w:w="0" w:type="dxa"/>
            <w:left w:w="108" w:type="dxa"/>
            <w:bottom w:w="0" w:type="dxa"/>
            <w:right w:w="108" w:type="dxa"/>
          </w:tblCellMar>
        </w:tblPrEx>
        <w:trPr>
          <w:trHeight w:val="254"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501"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780"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576.20</w:t>
            </w:r>
          </w:p>
        </w:tc>
      </w:tr>
      <w:tr>
        <w:tblPrEx>
          <w:tblCellMar>
            <w:top w:w="0" w:type="dxa"/>
            <w:left w:w="108" w:type="dxa"/>
            <w:bottom w:w="0" w:type="dxa"/>
            <w:right w:w="108" w:type="dxa"/>
          </w:tblCellMar>
        </w:tblPrEx>
        <w:trPr>
          <w:trHeight w:val="254" w:hRule="atLeast"/>
          <w:jc w:val="center"/>
        </w:trPr>
        <w:tc>
          <w:tcPr>
            <w:tcW w:w="812"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501" w:type="dxa"/>
            <w:gridSpan w:val="5"/>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r>
              <w:rPr>
                <w:rFonts w:hint="eastAsia" w:eastAsia="仿宋_GB2312"/>
                <w:color w:val="000000"/>
                <w:kern w:val="0"/>
                <w:sz w:val="18"/>
                <w:szCs w:val="18"/>
              </w:rPr>
              <w:t>177.60</w:t>
            </w:r>
          </w:p>
        </w:tc>
        <w:tc>
          <w:tcPr>
            <w:tcW w:w="3780"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812"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501" w:type="dxa"/>
            <w:gridSpan w:val="5"/>
            <w:tcBorders>
              <w:top w:val="single" w:color="auto" w:sz="4" w:space="0"/>
              <w:left w:val="nil"/>
              <w:bottom w:val="single" w:color="auto" w:sz="4" w:space="0"/>
              <w:right w:val="single" w:color="000000" w:sz="4" w:space="0"/>
            </w:tcBorders>
            <w:noWrap w:val="0"/>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预期目标</w:t>
            </w:r>
          </w:p>
        </w:tc>
        <w:tc>
          <w:tcPr>
            <w:tcW w:w="3780"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实际完成情况</w:t>
            </w:r>
          </w:p>
        </w:tc>
      </w:tr>
      <w:tr>
        <w:tblPrEx>
          <w:tblCellMar>
            <w:top w:w="0" w:type="dxa"/>
            <w:left w:w="108" w:type="dxa"/>
            <w:bottom w:w="0" w:type="dxa"/>
            <w:right w:w="108" w:type="dxa"/>
          </w:tblCellMar>
        </w:tblPrEx>
        <w:trPr>
          <w:trHeight w:val="1409" w:hRule="atLeast"/>
          <w:jc w:val="center"/>
        </w:trPr>
        <w:tc>
          <w:tcPr>
            <w:tcW w:w="812"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501" w:type="dxa"/>
            <w:gridSpan w:val="5"/>
            <w:tcBorders>
              <w:top w:val="single" w:color="auto" w:sz="4" w:space="0"/>
              <w:left w:val="nil"/>
              <w:bottom w:val="single" w:color="auto" w:sz="4" w:space="0"/>
              <w:right w:val="single" w:color="000000" w:sz="4" w:space="0"/>
            </w:tcBorders>
            <w:noWrap w:val="0"/>
            <w:vAlign w:val="center"/>
          </w:tcPr>
          <w:p>
            <w:pPr>
              <w:spacing w:line="240" w:lineRule="exact"/>
              <w:jc w:val="left"/>
              <w:rPr>
                <w:rFonts w:hint="eastAsia" w:eastAsia="仿宋_GB2312"/>
                <w:color w:val="000000"/>
                <w:kern w:val="0"/>
                <w:sz w:val="18"/>
                <w:szCs w:val="18"/>
              </w:rPr>
            </w:pPr>
            <w:r>
              <w:rPr>
                <w:rFonts w:hint="eastAsia" w:eastAsia="仿宋_GB2312"/>
                <w:color w:val="000000"/>
                <w:kern w:val="0"/>
                <w:sz w:val="18"/>
                <w:szCs w:val="18"/>
              </w:rPr>
              <w:t>1、</w:t>
            </w:r>
            <w:r>
              <w:rPr>
                <w:rFonts w:hint="eastAsia" w:eastAsia="仿宋_GB2312"/>
                <w:color w:val="000000"/>
                <w:kern w:val="0"/>
                <w:sz w:val="18"/>
                <w:szCs w:val="18"/>
                <w:lang w:val="en-US" w:eastAsia="zh-CN"/>
              </w:rPr>
              <w:t>实施</w:t>
            </w:r>
            <w:r>
              <w:rPr>
                <w:rFonts w:hint="eastAsia" w:eastAsia="仿宋_GB2312"/>
                <w:color w:val="000000"/>
                <w:kern w:val="0"/>
                <w:sz w:val="18"/>
                <w:szCs w:val="18"/>
              </w:rPr>
              <w:t>道路运输安全管理，定期掌握分析道路运输安全动态，制定对策。</w:t>
            </w:r>
          </w:p>
          <w:p>
            <w:pPr>
              <w:spacing w:line="240" w:lineRule="exact"/>
              <w:jc w:val="left"/>
              <w:rPr>
                <w:rFonts w:hint="eastAsia" w:eastAsia="仿宋_GB2312"/>
                <w:color w:val="000000"/>
                <w:kern w:val="0"/>
                <w:sz w:val="18"/>
                <w:szCs w:val="18"/>
              </w:rPr>
            </w:pPr>
            <w:r>
              <w:rPr>
                <w:rFonts w:hint="eastAsia" w:eastAsia="仿宋_GB2312"/>
                <w:color w:val="000000"/>
                <w:kern w:val="0"/>
                <w:sz w:val="18"/>
                <w:szCs w:val="18"/>
              </w:rPr>
              <w:t>2、</w:t>
            </w:r>
            <w:r>
              <w:rPr>
                <w:rFonts w:hint="eastAsia" w:eastAsia="仿宋_GB2312"/>
                <w:color w:val="000000"/>
                <w:kern w:val="0"/>
                <w:sz w:val="18"/>
                <w:szCs w:val="18"/>
                <w:lang w:val="en-US" w:eastAsia="zh-CN"/>
              </w:rPr>
              <w:t>进行</w:t>
            </w:r>
            <w:r>
              <w:rPr>
                <w:rFonts w:hint="eastAsia" w:eastAsia="仿宋_GB2312"/>
                <w:color w:val="000000"/>
                <w:kern w:val="0"/>
                <w:sz w:val="18"/>
                <w:szCs w:val="18"/>
              </w:rPr>
              <w:t>公路巡逻，及时发现、查处和纠正各类交通违法行为。</w:t>
            </w:r>
          </w:p>
          <w:p>
            <w:pPr>
              <w:spacing w:line="240" w:lineRule="exact"/>
              <w:jc w:val="left"/>
              <w:rPr>
                <w:rFonts w:hint="eastAsia" w:eastAsia="仿宋_GB2312"/>
                <w:color w:val="000000"/>
                <w:kern w:val="0"/>
                <w:sz w:val="18"/>
                <w:szCs w:val="18"/>
              </w:rPr>
            </w:pPr>
            <w:r>
              <w:rPr>
                <w:rFonts w:hint="eastAsia" w:eastAsia="仿宋_GB2312"/>
                <w:color w:val="000000"/>
                <w:kern w:val="0"/>
                <w:sz w:val="18"/>
                <w:szCs w:val="18"/>
              </w:rPr>
              <w:t>3、加强公路、水路交通安全宣传，预防安全事故发生。4:加强财务管理,资产管理,维护资金的安全和完善,防止资产流失</w:t>
            </w:r>
            <w:r>
              <w:rPr>
                <w:rFonts w:hint="eastAsia" w:eastAsia="仿宋_GB2312"/>
                <w:color w:val="000000"/>
                <w:kern w:val="0"/>
                <w:sz w:val="18"/>
                <w:szCs w:val="18"/>
                <w:lang w:eastAsia="zh-CN"/>
              </w:rPr>
              <w:t>，</w:t>
            </w:r>
            <w:r>
              <w:rPr>
                <w:rFonts w:hint="eastAsia" w:eastAsia="仿宋_GB2312"/>
                <w:color w:val="000000"/>
                <w:kern w:val="0"/>
                <w:sz w:val="18"/>
                <w:szCs w:val="18"/>
              </w:rPr>
              <w:t>强化预算支出责任，提高财政资金支出绩效，全面践行“花钱必问效，无效必问责”的理念。</w:t>
            </w:r>
          </w:p>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hint="eastAsia" w:eastAsia="仿宋_GB2312"/>
                <w:color w:val="000000"/>
                <w:kern w:val="0"/>
                <w:sz w:val="18"/>
                <w:szCs w:val="18"/>
              </w:rPr>
              <w:t>：完成县委、县政府交办的其他工作。</w:t>
            </w:r>
          </w:p>
        </w:tc>
        <w:tc>
          <w:tcPr>
            <w:tcW w:w="3780" w:type="dxa"/>
            <w:gridSpan w:val="4"/>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rPr>
            </w:pPr>
            <w:r>
              <w:rPr>
                <w:rFonts w:hint="eastAsia" w:eastAsia="仿宋_GB2312"/>
                <w:color w:val="000000"/>
                <w:kern w:val="0"/>
                <w:sz w:val="18"/>
                <w:szCs w:val="18"/>
              </w:rPr>
              <w:t>1、持续加强了对道路运输安全的管理，不断优化交通执法环境，定期掌握分析道路运输安全动态，制定对策。</w:t>
            </w:r>
          </w:p>
          <w:p>
            <w:pPr>
              <w:spacing w:line="240" w:lineRule="exact"/>
              <w:jc w:val="left"/>
              <w:rPr>
                <w:rFonts w:hint="eastAsia" w:eastAsia="仿宋_GB2312"/>
                <w:color w:val="000000"/>
                <w:kern w:val="0"/>
                <w:sz w:val="18"/>
                <w:szCs w:val="18"/>
              </w:rPr>
            </w:pPr>
            <w:r>
              <w:rPr>
                <w:rFonts w:hint="eastAsia" w:eastAsia="仿宋_GB2312"/>
                <w:color w:val="000000"/>
                <w:kern w:val="0"/>
                <w:sz w:val="18"/>
                <w:szCs w:val="18"/>
              </w:rPr>
              <w:t>2、加强公路巡逻和违法查处，及时发现、查处和纠正各类交通违法行为。</w:t>
            </w:r>
          </w:p>
          <w:p>
            <w:pPr>
              <w:spacing w:line="240" w:lineRule="exact"/>
              <w:jc w:val="left"/>
              <w:rPr>
                <w:rFonts w:hint="eastAsia" w:eastAsia="仿宋_GB2312"/>
                <w:color w:val="000000"/>
                <w:kern w:val="0"/>
                <w:sz w:val="18"/>
                <w:szCs w:val="18"/>
              </w:rPr>
            </w:pPr>
            <w:r>
              <w:rPr>
                <w:rFonts w:hint="eastAsia" w:eastAsia="仿宋_GB2312"/>
                <w:color w:val="000000"/>
                <w:kern w:val="0"/>
                <w:sz w:val="18"/>
                <w:szCs w:val="18"/>
              </w:rPr>
              <w:t>3、加强公路、水路交通安全宣传，预防安全事故发生。</w:t>
            </w:r>
          </w:p>
          <w:p>
            <w:pPr>
              <w:spacing w:line="240" w:lineRule="exact"/>
              <w:jc w:val="left"/>
              <w:rPr>
                <w:rFonts w:hint="eastAsia" w:eastAsia="仿宋_GB2312"/>
                <w:color w:val="000000"/>
                <w:kern w:val="0"/>
                <w:sz w:val="18"/>
                <w:szCs w:val="18"/>
              </w:rPr>
            </w:pPr>
            <w:r>
              <w:rPr>
                <w:rFonts w:hint="eastAsia" w:eastAsia="仿宋_GB2312"/>
                <w:color w:val="000000"/>
                <w:kern w:val="0"/>
                <w:sz w:val="18"/>
                <w:szCs w:val="18"/>
              </w:rPr>
              <w:t>4、加强铁路沿线巡查整改</w:t>
            </w:r>
          </w:p>
          <w:p>
            <w:pPr>
              <w:spacing w:line="240" w:lineRule="exact"/>
              <w:jc w:val="left"/>
              <w:rPr>
                <w:rFonts w:hint="eastAsia" w:eastAsia="仿宋_GB2312"/>
                <w:color w:val="000000"/>
                <w:kern w:val="0"/>
                <w:sz w:val="18"/>
                <w:szCs w:val="18"/>
              </w:rPr>
            </w:pPr>
            <w:r>
              <w:rPr>
                <w:rFonts w:hint="eastAsia" w:eastAsia="仿宋_GB2312"/>
                <w:color w:val="000000"/>
                <w:kern w:val="0"/>
                <w:sz w:val="18"/>
                <w:szCs w:val="18"/>
              </w:rPr>
              <w:t>5、加强水路巡查督导通。</w:t>
            </w:r>
          </w:p>
          <w:p>
            <w:pPr>
              <w:spacing w:line="240" w:lineRule="exact"/>
              <w:jc w:val="left"/>
              <w:rPr>
                <w:rFonts w:hint="eastAsia" w:eastAsia="仿宋_GB2312"/>
                <w:color w:val="000000"/>
                <w:kern w:val="0"/>
                <w:sz w:val="18"/>
                <w:szCs w:val="18"/>
              </w:rPr>
            </w:pPr>
            <w:r>
              <w:rPr>
                <w:rFonts w:hint="eastAsia" w:eastAsia="仿宋_GB2312"/>
                <w:color w:val="000000"/>
                <w:kern w:val="0"/>
                <w:sz w:val="18"/>
                <w:szCs w:val="18"/>
                <w:lang w:val="en-US" w:eastAsia="zh-CN"/>
              </w:rPr>
              <w:t>6、</w:t>
            </w:r>
            <w:r>
              <w:rPr>
                <w:rFonts w:hint="eastAsia" w:eastAsia="仿宋_GB2312"/>
                <w:color w:val="000000"/>
                <w:kern w:val="0"/>
                <w:sz w:val="18"/>
                <w:szCs w:val="18"/>
              </w:rPr>
              <w:t>加强财务管理,资产管理,维护资金的安全和完善,防止资产流失</w:t>
            </w:r>
            <w:r>
              <w:rPr>
                <w:rFonts w:hint="eastAsia" w:eastAsia="仿宋_GB2312"/>
                <w:color w:val="000000"/>
                <w:kern w:val="0"/>
                <w:sz w:val="18"/>
                <w:szCs w:val="18"/>
                <w:lang w:eastAsia="zh-CN"/>
              </w:rPr>
              <w:t>，</w:t>
            </w:r>
            <w:r>
              <w:rPr>
                <w:rFonts w:hint="eastAsia" w:eastAsia="仿宋_GB2312"/>
                <w:color w:val="000000"/>
                <w:kern w:val="0"/>
                <w:sz w:val="18"/>
                <w:szCs w:val="18"/>
              </w:rPr>
              <w:t>强化预算支出责任，提高财政资金支出绩效，全面践行“花钱必问效，无效必问责”的理念。</w:t>
            </w:r>
          </w:p>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7、</w:t>
            </w:r>
            <w:r>
              <w:rPr>
                <w:rFonts w:hint="eastAsia" w:eastAsia="仿宋_GB2312"/>
                <w:color w:val="000000"/>
                <w:kern w:val="0"/>
                <w:sz w:val="18"/>
                <w:szCs w:val="18"/>
              </w:rPr>
              <w:t>完成县委、县政府交办的其他工作。</w:t>
            </w:r>
          </w:p>
        </w:tc>
      </w:tr>
      <w:tr>
        <w:tblPrEx>
          <w:tblCellMar>
            <w:top w:w="0" w:type="dxa"/>
            <w:left w:w="108" w:type="dxa"/>
            <w:bottom w:w="0" w:type="dxa"/>
            <w:right w:w="108" w:type="dxa"/>
          </w:tblCellMar>
        </w:tblPrEx>
        <w:trPr>
          <w:trHeight w:val="463" w:hRule="atLeast"/>
          <w:jc w:val="center"/>
        </w:trPr>
        <w:tc>
          <w:tcPr>
            <w:tcW w:w="812" w:type="dxa"/>
            <w:vMerge w:val="restart"/>
            <w:tcBorders>
              <w:top w:val="nil"/>
              <w:left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绩</w:t>
            </w:r>
          </w:p>
          <w:p>
            <w:pPr>
              <w:spacing w:line="240" w:lineRule="exact"/>
              <w:jc w:val="center"/>
              <w:rPr>
                <w:rFonts w:eastAsia="仿宋_GB2312"/>
                <w:color w:val="000000"/>
                <w:kern w:val="0"/>
                <w:sz w:val="18"/>
                <w:szCs w:val="18"/>
              </w:rPr>
            </w:pPr>
            <w:r>
              <w:rPr>
                <w:rFonts w:eastAsia="仿宋_GB2312"/>
                <w:color w:val="000000"/>
                <w:kern w:val="0"/>
                <w:sz w:val="18"/>
                <w:szCs w:val="18"/>
              </w:rPr>
              <w:t>效</w:t>
            </w:r>
          </w:p>
          <w:p>
            <w:pPr>
              <w:spacing w:line="240" w:lineRule="exact"/>
              <w:jc w:val="center"/>
              <w:rPr>
                <w:rFonts w:eastAsia="仿宋_GB2312"/>
                <w:color w:val="000000"/>
                <w:kern w:val="0"/>
                <w:sz w:val="18"/>
                <w:szCs w:val="18"/>
              </w:rPr>
            </w:pPr>
            <w:r>
              <w:rPr>
                <w:rFonts w:eastAsia="仿宋_GB2312"/>
                <w:color w:val="000000"/>
                <w:kern w:val="0"/>
                <w:sz w:val="18"/>
                <w:szCs w:val="18"/>
              </w:rPr>
              <w:t>指</w:t>
            </w:r>
          </w:p>
          <w:p>
            <w:pPr>
              <w:spacing w:line="240" w:lineRule="exact"/>
              <w:jc w:val="center"/>
              <w:rPr>
                <w:rFonts w:eastAsia="仿宋_GB2312"/>
                <w:color w:val="000000"/>
                <w:kern w:val="0"/>
                <w:sz w:val="18"/>
                <w:szCs w:val="18"/>
              </w:rPr>
            </w:pPr>
            <w:r>
              <w:rPr>
                <w:rFonts w:eastAsia="仿宋_GB2312"/>
                <w:color w:val="000000"/>
                <w:kern w:val="0"/>
                <w:sz w:val="18"/>
                <w:szCs w:val="18"/>
              </w:rPr>
              <w:t>标</w:t>
            </w:r>
          </w:p>
          <w:p>
            <w:pPr>
              <w:spacing w:line="240" w:lineRule="exact"/>
              <w:ind w:firstLine="360"/>
              <w:jc w:val="center"/>
              <w:rPr>
                <w:rFonts w:eastAsia="仿宋_GB2312"/>
                <w:color w:val="000000"/>
                <w:kern w:val="0"/>
                <w:sz w:val="18"/>
                <w:szCs w:val="18"/>
              </w:rPr>
            </w:pPr>
          </w:p>
        </w:tc>
        <w:tc>
          <w:tcPr>
            <w:tcW w:w="1021"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84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575"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65"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91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72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50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300"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21" w:type="dxa"/>
            <w:vMerge w:val="restart"/>
            <w:tcBorders>
              <w:top w:val="single" w:color="auto" w:sz="4" w:space="0"/>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w:t>
            </w:r>
            <w:r>
              <w:rPr>
                <w:rFonts w:hint="eastAsia" w:eastAsia="仿宋_GB2312"/>
                <w:color w:val="000000"/>
                <w:kern w:val="0"/>
                <w:sz w:val="18"/>
                <w:szCs w:val="18"/>
                <w:lang w:val="en-US" w:eastAsia="zh-CN"/>
              </w:rPr>
              <w:t>4</w:t>
            </w:r>
            <w:r>
              <w:rPr>
                <w:rFonts w:eastAsia="仿宋_GB2312"/>
                <w:color w:val="000000"/>
                <w:kern w:val="0"/>
                <w:sz w:val="18"/>
                <w:szCs w:val="18"/>
              </w:rPr>
              <w:t>0分)</w:t>
            </w:r>
          </w:p>
        </w:tc>
        <w:tc>
          <w:tcPr>
            <w:tcW w:w="84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57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color w:val="000000"/>
                <w:kern w:val="0"/>
                <w:sz w:val="18"/>
                <w:szCs w:val="18"/>
                <w:lang w:eastAsia="zh-CN"/>
              </w:rPr>
            </w:pPr>
            <w:r>
              <w:rPr>
                <w:rFonts w:hint="eastAsia" w:ascii="仿宋" w:hAnsi="仿宋" w:eastAsia="仿宋" w:cs="仿宋"/>
                <w:i w:val="0"/>
                <w:color w:val="000000"/>
                <w:kern w:val="0"/>
                <w:sz w:val="20"/>
                <w:szCs w:val="20"/>
                <w:u w:val="none"/>
                <w:lang w:val="en-US" w:eastAsia="zh-CN" w:bidi="ar"/>
              </w:rPr>
              <w:t>公路及水路日常监督</w:t>
            </w:r>
          </w:p>
        </w:tc>
        <w:tc>
          <w:tcPr>
            <w:tcW w:w="10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100%</w:t>
            </w:r>
          </w:p>
        </w:tc>
        <w:tc>
          <w:tcPr>
            <w:tcW w:w="9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100</w:t>
            </w:r>
          </w:p>
        </w:tc>
        <w:tc>
          <w:tcPr>
            <w:tcW w:w="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20</w:t>
            </w:r>
          </w:p>
        </w:tc>
        <w:tc>
          <w:tcPr>
            <w:tcW w:w="7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20</w:t>
            </w:r>
          </w:p>
        </w:tc>
        <w:tc>
          <w:tcPr>
            <w:tcW w:w="150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445"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2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57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20"/>
                <w:szCs w:val="20"/>
                <w:u w:val="none"/>
                <w:lang w:val="en-US" w:eastAsia="zh-CN" w:bidi="ar"/>
              </w:rPr>
              <w:t>公路及水路监督效果</w:t>
            </w:r>
          </w:p>
        </w:tc>
        <w:tc>
          <w:tcPr>
            <w:tcW w:w="10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良好</w:t>
            </w:r>
          </w:p>
        </w:tc>
        <w:tc>
          <w:tcPr>
            <w:tcW w:w="9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90</w:t>
            </w:r>
          </w:p>
        </w:tc>
        <w:tc>
          <w:tcPr>
            <w:tcW w:w="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20</w:t>
            </w:r>
          </w:p>
        </w:tc>
        <w:tc>
          <w:tcPr>
            <w:tcW w:w="7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18</w:t>
            </w:r>
          </w:p>
        </w:tc>
        <w:tc>
          <w:tcPr>
            <w:tcW w:w="15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进一步</w:t>
            </w:r>
            <w:r>
              <w:rPr>
                <w:rFonts w:hint="eastAsia" w:eastAsia="仿宋_GB2312"/>
                <w:color w:val="000000"/>
                <w:kern w:val="0"/>
                <w:sz w:val="18"/>
                <w:szCs w:val="18"/>
                <w:lang w:val="en-US" w:eastAsia="zh-CN"/>
              </w:rPr>
              <w:t>加强</w:t>
            </w:r>
            <w:r>
              <w:rPr>
                <w:rFonts w:hint="eastAsia" w:eastAsia="仿宋_GB2312"/>
                <w:color w:val="000000"/>
                <w:kern w:val="0"/>
                <w:sz w:val="18"/>
                <w:szCs w:val="18"/>
                <w:lang w:eastAsia="zh-CN"/>
              </w:rPr>
              <w:t>提升</w:t>
            </w:r>
            <w:r>
              <w:rPr>
                <w:rFonts w:eastAsia="仿宋_GB2312"/>
                <w:color w:val="000000"/>
                <w:kern w:val="0"/>
                <w:sz w:val="18"/>
                <w:szCs w:val="18"/>
              </w:rPr>
              <w:t>　</w:t>
            </w:r>
          </w:p>
        </w:tc>
      </w:tr>
      <w:tr>
        <w:tblPrEx>
          <w:tblCellMar>
            <w:top w:w="0" w:type="dxa"/>
            <w:left w:w="108" w:type="dxa"/>
            <w:bottom w:w="0" w:type="dxa"/>
            <w:right w:w="108" w:type="dxa"/>
          </w:tblCellMar>
        </w:tblPrEx>
        <w:trPr>
          <w:trHeight w:val="536"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2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57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20"/>
                <w:szCs w:val="20"/>
                <w:u w:val="none"/>
                <w:lang w:val="en-US" w:eastAsia="zh-CN" w:bidi="ar"/>
              </w:rPr>
              <w:t>持续保障公路及水路安全畅通</w:t>
            </w:r>
          </w:p>
        </w:tc>
        <w:tc>
          <w:tcPr>
            <w:tcW w:w="10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良好</w:t>
            </w:r>
          </w:p>
        </w:tc>
        <w:tc>
          <w:tcPr>
            <w:tcW w:w="9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90</w:t>
            </w:r>
          </w:p>
        </w:tc>
        <w:tc>
          <w:tcPr>
            <w:tcW w:w="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20</w:t>
            </w:r>
          </w:p>
        </w:tc>
        <w:tc>
          <w:tcPr>
            <w:tcW w:w="7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18</w:t>
            </w:r>
          </w:p>
        </w:tc>
        <w:tc>
          <w:tcPr>
            <w:tcW w:w="15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进一步</w:t>
            </w:r>
            <w:r>
              <w:rPr>
                <w:rFonts w:hint="eastAsia" w:eastAsia="仿宋_GB2312"/>
                <w:color w:val="000000"/>
                <w:kern w:val="0"/>
                <w:sz w:val="18"/>
                <w:szCs w:val="18"/>
                <w:lang w:val="en-US" w:eastAsia="zh-CN"/>
              </w:rPr>
              <w:t>加强</w:t>
            </w:r>
            <w:r>
              <w:rPr>
                <w:rFonts w:hint="eastAsia" w:eastAsia="仿宋_GB2312"/>
                <w:color w:val="000000"/>
                <w:kern w:val="0"/>
                <w:sz w:val="18"/>
                <w:szCs w:val="18"/>
                <w:lang w:eastAsia="zh-CN"/>
              </w:rPr>
              <w:t>提升</w:t>
            </w: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w:t>
            </w:r>
            <w:r>
              <w:rPr>
                <w:rFonts w:hint="eastAsia" w:eastAsia="仿宋_GB2312"/>
                <w:color w:val="000000"/>
                <w:kern w:val="0"/>
                <w:sz w:val="18"/>
                <w:szCs w:val="18"/>
                <w:lang w:val="en-US" w:eastAsia="zh-CN"/>
              </w:rPr>
              <w:t>4</w:t>
            </w:r>
            <w:r>
              <w:rPr>
                <w:rFonts w:eastAsia="仿宋_GB2312"/>
                <w:color w:val="000000"/>
                <w:kern w:val="0"/>
                <w:sz w:val="18"/>
                <w:szCs w:val="18"/>
              </w:rPr>
              <w:t>0分）</w:t>
            </w:r>
          </w:p>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4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57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20"/>
                <w:szCs w:val="20"/>
                <w:u w:val="none"/>
                <w:lang w:val="en-US" w:eastAsia="zh-CN" w:bidi="ar"/>
              </w:rPr>
              <w:t>无经济效益影响</w:t>
            </w:r>
          </w:p>
        </w:tc>
        <w:tc>
          <w:tcPr>
            <w:tcW w:w="10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无</w:t>
            </w:r>
          </w:p>
        </w:tc>
        <w:tc>
          <w:tcPr>
            <w:tcW w:w="917" w:type="dxa"/>
            <w:tcBorders>
              <w:top w:val="nil"/>
              <w:left w:val="nil"/>
              <w:bottom w:val="single" w:color="auto" w:sz="4" w:space="0"/>
              <w:right w:val="single" w:color="auto" w:sz="4" w:space="0"/>
            </w:tcBorders>
            <w:noWrap w:val="0"/>
            <w:vAlign w:val="center"/>
          </w:tcPr>
          <w:p>
            <w:pPr>
              <w:jc w:val="center"/>
              <w:rPr>
                <w:rFonts w:eastAsia="仿宋_GB2312"/>
                <w:color w:val="000000"/>
                <w:kern w:val="0"/>
                <w:sz w:val="18"/>
                <w:szCs w:val="18"/>
              </w:rPr>
            </w:pPr>
          </w:p>
        </w:tc>
        <w:tc>
          <w:tcPr>
            <w:tcW w:w="636" w:type="dxa"/>
            <w:tcBorders>
              <w:top w:val="nil"/>
              <w:left w:val="nil"/>
              <w:bottom w:val="single" w:color="auto" w:sz="4" w:space="0"/>
              <w:right w:val="single" w:color="auto" w:sz="4" w:space="0"/>
            </w:tcBorders>
            <w:noWrap w:val="0"/>
            <w:vAlign w:val="center"/>
          </w:tcPr>
          <w:p>
            <w:pPr>
              <w:jc w:val="center"/>
              <w:rPr>
                <w:rFonts w:eastAsia="仿宋_GB2312"/>
                <w:color w:val="000000"/>
                <w:kern w:val="0"/>
                <w:sz w:val="18"/>
                <w:szCs w:val="18"/>
              </w:rPr>
            </w:pPr>
          </w:p>
        </w:tc>
        <w:tc>
          <w:tcPr>
            <w:tcW w:w="727" w:type="dxa"/>
            <w:tcBorders>
              <w:top w:val="nil"/>
              <w:left w:val="nil"/>
              <w:bottom w:val="single" w:color="auto" w:sz="4" w:space="0"/>
              <w:right w:val="single" w:color="auto" w:sz="4" w:space="0"/>
            </w:tcBorders>
            <w:noWrap w:val="0"/>
            <w:vAlign w:val="center"/>
          </w:tcPr>
          <w:p>
            <w:pPr>
              <w:rPr>
                <w:rFonts w:eastAsia="仿宋_GB2312"/>
                <w:color w:val="000000"/>
                <w:kern w:val="0"/>
                <w:sz w:val="18"/>
                <w:szCs w:val="18"/>
              </w:rPr>
            </w:pPr>
          </w:p>
        </w:tc>
        <w:tc>
          <w:tcPr>
            <w:tcW w:w="150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510"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57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20"/>
                <w:szCs w:val="20"/>
                <w:u w:val="none"/>
                <w:lang w:val="en-US" w:eastAsia="zh-CN" w:bidi="ar"/>
              </w:rPr>
              <w:t>营造良好的交通运输秩序，保障人民出行通畅便捷</w:t>
            </w:r>
          </w:p>
        </w:tc>
        <w:tc>
          <w:tcPr>
            <w:tcW w:w="10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良好</w:t>
            </w:r>
          </w:p>
        </w:tc>
        <w:tc>
          <w:tcPr>
            <w:tcW w:w="9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90</w:t>
            </w:r>
          </w:p>
        </w:tc>
        <w:tc>
          <w:tcPr>
            <w:tcW w:w="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20</w:t>
            </w:r>
          </w:p>
        </w:tc>
        <w:tc>
          <w:tcPr>
            <w:tcW w:w="7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color w:val="000000"/>
                <w:kern w:val="0"/>
                <w:sz w:val="18"/>
                <w:szCs w:val="18"/>
                <w:lang w:val="en-US" w:eastAsia="zh-CN"/>
              </w:rPr>
            </w:pPr>
            <w:r>
              <w:rPr>
                <w:rFonts w:hint="default" w:ascii="仿宋_GB2312" w:hAnsi="宋体" w:eastAsia="仿宋_GB2312" w:cs="仿宋_GB2312"/>
                <w:i w:val="0"/>
                <w:color w:val="000000"/>
                <w:kern w:val="0"/>
                <w:sz w:val="20"/>
                <w:szCs w:val="20"/>
                <w:u w:val="none"/>
                <w:lang w:val="en-US" w:eastAsia="zh-CN" w:bidi="ar"/>
              </w:rPr>
              <w:t>18</w:t>
            </w:r>
          </w:p>
        </w:tc>
        <w:tc>
          <w:tcPr>
            <w:tcW w:w="15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进一步</w:t>
            </w:r>
            <w:r>
              <w:rPr>
                <w:rFonts w:hint="eastAsia" w:eastAsia="仿宋_GB2312"/>
                <w:color w:val="000000"/>
                <w:kern w:val="0"/>
                <w:sz w:val="18"/>
                <w:szCs w:val="18"/>
                <w:lang w:val="en-US" w:eastAsia="zh-CN"/>
              </w:rPr>
              <w:t>加强</w:t>
            </w:r>
            <w:r>
              <w:rPr>
                <w:rFonts w:hint="eastAsia" w:eastAsia="仿宋_GB2312"/>
                <w:color w:val="000000"/>
                <w:kern w:val="0"/>
                <w:sz w:val="18"/>
                <w:szCs w:val="18"/>
                <w:lang w:eastAsia="zh-CN"/>
              </w:rPr>
              <w:t>提升</w:t>
            </w: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57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20"/>
                <w:szCs w:val="20"/>
                <w:u w:val="none"/>
                <w:lang w:val="en-US" w:eastAsia="zh-CN" w:bidi="ar"/>
              </w:rPr>
              <w:t>无生态效益影响</w:t>
            </w:r>
          </w:p>
        </w:tc>
        <w:tc>
          <w:tcPr>
            <w:tcW w:w="10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无</w:t>
            </w:r>
          </w:p>
        </w:tc>
        <w:tc>
          <w:tcPr>
            <w:tcW w:w="917" w:type="dxa"/>
            <w:tcBorders>
              <w:top w:val="nil"/>
              <w:left w:val="nil"/>
              <w:bottom w:val="single" w:color="auto" w:sz="4" w:space="0"/>
              <w:right w:val="single" w:color="auto" w:sz="4" w:space="0"/>
            </w:tcBorders>
            <w:noWrap w:val="0"/>
            <w:vAlign w:val="center"/>
          </w:tcPr>
          <w:p>
            <w:pPr>
              <w:jc w:val="center"/>
              <w:rPr>
                <w:rFonts w:eastAsia="仿宋_GB2312"/>
                <w:color w:val="000000"/>
                <w:kern w:val="0"/>
                <w:sz w:val="18"/>
                <w:szCs w:val="18"/>
              </w:rPr>
            </w:pPr>
          </w:p>
        </w:tc>
        <w:tc>
          <w:tcPr>
            <w:tcW w:w="636" w:type="dxa"/>
            <w:tcBorders>
              <w:top w:val="nil"/>
              <w:left w:val="nil"/>
              <w:bottom w:val="single" w:color="auto" w:sz="4" w:space="0"/>
              <w:right w:val="single" w:color="auto" w:sz="4" w:space="0"/>
            </w:tcBorders>
            <w:noWrap w:val="0"/>
            <w:vAlign w:val="center"/>
          </w:tcPr>
          <w:p>
            <w:pPr>
              <w:jc w:val="center"/>
              <w:rPr>
                <w:rFonts w:eastAsia="仿宋_GB2312"/>
                <w:color w:val="000000"/>
                <w:kern w:val="0"/>
                <w:sz w:val="18"/>
                <w:szCs w:val="18"/>
              </w:rPr>
            </w:pPr>
          </w:p>
        </w:tc>
        <w:tc>
          <w:tcPr>
            <w:tcW w:w="727" w:type="dxa"/>
            <w:tcBorders>
              <w:top w:val="nil"/>
              <w:left w:val="nil"/>
              <w:bottom w:val="single" w:color="auto" w:sz="4" w:space="0"/>
              <w:right w:val="single" w:color="auto" w:sz="4" w:space="0"/>
            </w:tcBorders>
            <w:noWrap w:val="0"/>
            <w:vAlign w:val="center"/>
          </w:tcPr>
          <w:p>
            <w:pPr>
              <w:rPr>
                <w:rFonts w:eastAsia="仿宋_GB2312"/>
                <w:color w:val="000000"/>
                <w:kern w:val="0"/>
                <w:sz w:val="18"/>
                <w:szCs w:val="18"/>
              </w:rPr>
            </w:pPr>
          </w:p>
        </w:tc>
        <w:tc>
          <w:tcPr>
            <w:tcW w:w="15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p>
        </w:tc>
      </w:tr>
      <w:tr>
        <w:tblPrEx>
          <w:tblCellMar>
            <w:top w:w="0" w:type="dxa"/>
            <w:left w:w="108" w:type="dxa"/>
            <w:bottom w:w="0" w:type="dxa"/>
            <w:right w:w="108" w:type="dxa"/>
          </w:tblCellMar>
        </w:tblPrEx>
        <w:trPr>
          <w:trHeight w:val="265"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20"/>
                <w:szCs w:val="20"/>
                <w:u w:val="none"/>
                <w:lang w:val="en-US" w:eastAsia="zh-CN" w:bidi="ar"/>
              </w:rPr>
              <w:t>无可持续影响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无</w:t>
            </w:r>
          </w:p>
        </w:tc>
        <w:tc>
          <w:tcPr>
            <w:tcW w:w="9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kern w:val="0"/>
                <w:sz w:val="18"/>
                <w:szCs w:val="18"/>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sz w:val="18"/>
                <w:szCs w:val="1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7" w:hRule="atLeast"/>
          <w:jc w:val="center"/>
        </w:trPr>
        <w:tc>
          <w:tcPr>
            <w:tcW w:w="812"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84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服务对象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满意度指标</w:t>
            </w:r>
          </w:p>
        </w:tc>
        <w:tc>
          <w:tcPr>
            <w:tcW w:w="157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20"/>
                <w:szCs w:val="20"/>
                <w:u w:val="none"/>
                <w:lang w:val="en-US" w:eastAsia="zh-CN" w:bidi="ar"/>
              </w:rPr>
              <w:t>公众满意度</w:t>
            </w:r>
          </w:p>
        </w:tc>
        <w:tc>
          <w:tcPr>
            <w:tcW w:w="10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满意</w:t>
            </w:r>
          </w:p>
        </w:tc>
        <w:tc>
          <w:tcPr>
            <w:tcW w:w="9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100</w:t>
            </w:r>
          </w:p>
        </w:tc>
        <w:tc>
          <w:tcPr>
            <w:tcW w:w="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default" w:ascii="仿宋_GB2312" w:hAnsi="宋体" w:eastAsia="仿宋_GB2312" w:cs="仿宋_GB2312"/>
                <w:i w:val="0"/>
                <w:color w:val="000000"/>
                <w:kern w:val="0"/>
                <w:sz w:val="20"/>
                <w:szCs w:val="20"/>
                <w:u w:val="none"/>
                <w:lang w:val="en-US" w:eastAsia="zh-CN" w:bidi="ar"/>
              </w:rPr>
              <w:t>10</w:t>
            </w:r>
          </w:p>
        </w:tc>
        <w:tc>
          <w:tcPr>
            <w:tcW w:w="7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eastAsia="仿宋_GB2312"/>
                <w:color w:val="000000"/>
                <w:kern w:val="0"/>
                <w:sz w:val="18"/>
                <w:szCs w:val="18"/>
                <w:lang w:val="en-US"/>
              </w:rPr>
            </w:pPr>
            <w:r>
              <w:rPr>
                <w:rFonts w:hint="default" w:ascii="仿宋_GB2312" w:hAnsi="宋体" w:eastAsia="仿宋_GB2312" w:cs="仿宋_GB2312"/>
                <w:i w:val="0"/>
                <w:color w:val="000000"/>
                <w:kern w:val="0"/>
                <w:sz w:val="20"/>
                <w:szCs w:val="20"/>
                <w:u w:val="none"/>
                <w:lang w:val="en-US" w:eastAsia="zh-CN" w:bidi="ar"/>
              </w:rPr>
              <w:t>10</w:t>
            </w:r>
          </w:p>
        </w:tc>
        <w:tc>
          <w:tcPr>
            <w:tcW w:w="150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w:t>
            </w:r>
            <w:r>
              <w:rPr>
                <w:rFonts w:hint="eastAsia" w:eastAsia="仿宋_GB2312"/>
                <w:color w:val="000000"/>
                <w:kern w:val="0"/>
                <w:sz w:val="18"/>
                <w:szCs w:val="18"/>
                <w:lang w:val="en-US" w:eastAsia="zh-CN"/>
              </w:rPr>
              <w:t xml:space="preserve">      </w:t>
            </w:r>
            <w:r>
              <w:rPr>
                <w:rFonts w:eastAsia="仿宋_GB2312"/>
                <w:color w:val="000000"/>
                <w:kern w:val="0"/>
                <w:sz w:val="18"/>
                <w:szCs w:val="18"/>
              </w:rPr>
              <w:t>分</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72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96</w:t>
            </w:r>
          </w:p>
        </w:tc>
        <w:tc>
          <w:tcPr>
            <w:tcW w:w="150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谢祎   联系电话：18175930208  单位负责人签字：</w:t>
      </w:r>
    </w:p>
    <w:sectPr>
      <w:headerReference r:id="rId3" w:type="default"/>
      <w:footerReference r:id="rId4" w:type="default"/>
      <w:footerReference r:id="rId5" w:type="even"/>
      <w:pgSz w:w="11905" w:h="16837"/>
      <w:pgMar w:top="1134" w:right="1689" w:bottom="850" w:left="1689" w:header="720" w:footer="737" w:gutter="0"/>
      <w:pgNumType w:fmt="numberInDash"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1D1B1"/>
    <w:multiLevelType w:val="singleLevel"/>
    <w:tmpl w:val="EC81D1B1"/>
    <w:lvl w:ilvl="0" w:tentative="0">
      <w:start w:val="1"/>
      <w:numFmt w:val="decimal"/>
      <w:suff w:val="nothing"/>
      <w:lvlText w:val="%1、"/>
      <w:lvlJc w:val="left"/>
    </w:lvl>
  </w:abstractNum>
  <w:abstractNum w:abstractNumId="1">
    <w:nsid w:val="3EC7221D"/>
    <w:multiLevelType w:val="singleLevel"/>
    <w:tmpl w:val="3EC7221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MDZjOWVkMWFlNjYwOWZiMDkwNTAzZWZhMDNkOTQ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AF929E"/>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CF50E9E"/>
    <w:rsid w:val="0D766D04"/>
    <w:rsid w:val="0DD74424"/>
    <w:rsid w:val="0E8F2773"/>
    <w:rsid w:val="0F31382A"/>
    <w:rsid w:val="0FF71F52"/>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9FFDB0"/>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4F61C7"/>
    <w:rsid w:val="1A5605E9"/>
    <w:rsid w:val="1B326960"/>
    <w:rsid w:val="1B5E90EC"/>
    <w:rsid w:val="1B8B42C2"/>
    <w:rsid w:val="1BCD6688"/>
    <w:rsid w:val="1BD417C5"/>
    <w:rsid w:val="1CB05D8E"/>
    <w:rsid w:val="1CCF110C"/>
    <w:rsid w:val="1CF10AE6"/>
    <w:rsid w:val="1D743260"/>
    <w:rsid w:val="1D9456B0"/>
    <w:rsid w:val="1DEB1048"/>
    <w:rsid w:val="1E0F4D36"/>
    <w:rsid w:val="1E164317"/>
    <w:rsid w:val="1EDD568A"/>
    <w:rsid w:val="1F3D3B25"/>
    <w:rsid w:val="1FA31533"/>
    <w:rsid w:val="1FDB75C6"/>
    <w:rsid w:val="1FEE8203"/>
    <w:rsid w:val="1FFFB92C"/>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7DF8D9D"/>
    <w:rsid w:val="281D135F"/>
    <w:rsid w:val="28377363"/>
    <w:rsid w:val="28BF4190"/>
    <w:rsid w:val="28C4406E"/>
    <w:rsid w:val="28C878C3"/>
    <w:rsid w:val="29037B8D"/>
    <w:rsid w:val="2A5341FD"/>
    <w:rsid w:val="2A706BB3"/>
    <w:rsid w:val="2A7C719C"/>
    <w:rsid w:val="2A974647"/>
    <w:rsid w:val="2B5446D0"/>
    <w:rsid w:val="2B563FA5"/>
    <w:rsid w:val="2B591CE7"/>
    <w:rsid w:val="2B5F8CA9"/>
    <w:rsid w:val="2B7679E1"/>
    <w:rsid w:val="2B7E52A9"/>
    <w:rsid w:val="2B926A7E"/>
    <w:rsid w:val="2B942D1F"/>
    <w:rsid w:val="2C1125C1"/>
    <w:rsid w:val="2C2B5641"/>
    <w:rsid w:val="2C8F2F53"/>
    <w:rsid w:val="2CA10478"/>
    <w:rsid w:val="2CAE79CE"/>
    <w:rsid w:val="2CB6067E"/>
    <w:rsid w:val="2CBB8679"/>
    <w:rsid w:val="2CC66F08"/>
    <w:rsid w:val="2CCA094F"/>
    <w:rsid w:val="2CFF8645"/>
    <w:rsid w:val="2D610085"/>
    <w:rsid w:val="2DBF1C54"/>
    <w:rsid w:val="2DF5FB97"/>
    <w:rsid w:val="2E1B3283"/>
    <w:rsid w:val="2E2B5E45"/>
    <w:rsid w:val="2E515D05"/>
    <w:rsid w:val="2E5F4F93"/>
    <w:rsid w:val="2E676D4E"/>
    <w:rsid w:val="2F779797"/>
    <w:rsid w:val="2F9C21A2"/>
    <w:rsid w:val="2FA7F28F"/>
    <w:rsid w:val="2FC02FA6"/>
    <w:rsid w:val="2FD22068"/>
    <w:rsid w:val="2FDC6A42"/>
    <w:rsid w:val="2FE57F9B"/>
    <w:rsid w:val="2FF4311D"/>
    <w:rsid w:val="2FF745A3"/>
    <w:rsid w:val="2FFDE13D"/>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5FD1FDF"/>
    <w:rsid w:val="372907BF"/>
    <w:rsid w:val="376A3C4C"/>
    <w:rsid w:val="377D6D5D"/>
    <w:rsid w:val="37AF5FA3"/>
    <w:rsid w:val="37B50268"/>
    <w:rsid w:val="37BF565F"/>
    <w:rsid w:val="37BFC952"/>
    <w:rsid w:val="37CD55EE"/>
    <w:rsid w:val="37D270A9"/>
    <w:rsid w:val="38354BCF"/>
    <w:rsid w:val="38761300"/>
    <w:rsid w:val="38D330D8"/>
    <w:rsid w:val="38E452E6"/>
    <w:rsid w:val="38F90665"/>
    <w:rsid w:val="38FC7F68"/>
    <w:rsid w:val="391E32EE"/>
    <w:rsid w:val="39649B30"/>
    <w:rsid w:val="39C175C6"/>
    <w:rsid w:val="3A754CC9"/>
    <w:rsid w:val="3A771FCA"/>
    <w:rsid w:val="3B082DE1"/>
    <w:rsid w:val="3B4A51A8"/>
    <w:rsid w:val="3B563B4D"/>
    <w:rsid w:val="3BDC6748"/>
    <w:rsid w:val="3BEA370A"/>
    <w:rsid w:val="3BFF0025"/>
    <w:rsid w:val="3C6B3628"/>
    <w:rsid w:val="3CFE414F"/>
    <w:rsid w:val="3D6D5680"/>
    <w:rsid w:val="3D9F0896"/>
    <w:rsid w:val="3DB688FB"/>
    <w:rsid w:val="3DCE3E6E"/>
    <w:rsid w:val="3DFE0BF8"/>
    <w:rsid w:val="3E030FFE"/>
    <w:rsid w:val="3E3A69A0"/>
    <w:rsid w:val="3E75FE0C"/>
    <w:rsid w:val="3EAD617A"/>
    <w:rsid w:val="3ECD3124"/>
    <w:rsid w:val="3ED43706"/>
    <w:rsid w:val="3EE61364"/>
    <w:rsid w:val="3EF115E1"/>
    <w:rsid w:val="3EF142B8"/>
    <w:rsid w:val="3F3E3276"/>
    <w:rsid w:val="3F5017C4"/>
    <w:rsid w:val="3F520ACF"/>
    <w:rsid w:val="3F630D9D"/>
    <w:rsid w:val="3F7E3E24"/>
    <w:rsid w:val="3F830C89"/>
    <w:rsid w:val="3F966C0E"/>
    <w:rsid w:val="3F9A003D"/>
    <w:rsid w:val="3FBF47EA"/>
    <w:rsid w:val="3FDE3447"/>
    <w:rsid w:val="3FDF6110"/>
    <w:rsid w:val="3FEA0343"/>
    <w:rsid w:val="3FED3DE7"/>
    <w:rsid w:val="3FF480FA"/>
    <w:rsid w:val="3FFB8B86"/>
    <w:rsid w:val="3FFF8129"/>
    <w:rsid w:val="40363F4D"/>
    <w:rsid w:val="4044666A"/>
    <w:rsid w:val="40550877"/>
    <w:rsid w:val="409A272E"/>
    <w:rsid w:val="413B181B"/>
    <w:rsid w:val="418307B3"/>
    <w:rsid w:val="41A25D3E"/>
    <w:rsid w:val="41CC2DBB"/>
    <w:rsid w:val="42A25018"/>
    <w:rsid w:val="42E80618"/>
    <w:rsid w:val="42E867DB"/>
    <w:rsid w:val="43196A3C"/>
    <w:rsid w:val="434A21E9"/>
    <w:rsid w:val="435B61A4"/>
    <w:rsid w:val="43925E19"/>
    <w:rsid w:val="43DA6B8F"/>
    <w:rsid w:val="44A818BD"/>
    <w:rsid w:val="46222FA9"/>
    <w:rsid w:val="46A2058E"/>
    <w:rsid w:val="46D52711"/>
    <w:rsid w:val="47215957"/>
    <w:rsid w:val="474927B8"/>
    <w:rsid w:val="475F4422"/>
    <w:rsid w:val="47743CD8"/>
    <w:rsid w:val="4786135E"/>
    <w:rsid w:val="47FDBE4F"/>
    <w:rsid w:val="4874505C"/>
    <w:rsid w:val="488F069E"/>
    <w:rsid w:val="48A56114"/>
    <w:rsid w:val="48FFE728"/>
    <w:rsid w:val="49136AFE"/>
    <w:rsid w:val="49201968"/>
    <w:rsid w:val="49C3D57E"/>
    <w:rsid w:val="49DB003F"/>
    <w:rsid w:val="49F04DE4"/>
    <w:rsid w:val="49F977A4"/>
    <w:rsid w:val="4A0B1FA6"/>
    <w:rsid w:val="4ADB406F"/>
    <w:rsid w:val="4B6814D6"/>
    <w:rsid w:val="4BB905DA"/>
    <w:rsid w:val="4BC468B1"/>
    <w:rsid w:val="4BCF4956"/>
    <w:rsid w:val="4C02288C"/>
    <w:rsid w:val="4C9E5354"/>
    <w:rsid w:val="4D762D9F"/>
    <w:rsid w:val="4DE4323A"/>
    <w:rsid w:val="4E0B709E"/>
    <w:rsid w:val="4E2A5D47"/>
    <w:rsid w:val="4E7E368F"/>
    <w:rsid w:val="4EDF237F"/>
    <w:rsid w:val="4EFDE5E9"/>
    <w:rsid w:val="4EFFE41C"/>
    <w:rsid w:val="4F3B1723"/>
    <w:rsid w:val="4F702FD7"/>
    <w:rsid w:val="4F7A3E56"/>
    <w:rsid w:val="4F7F0BBD"/>
    <w:rsid w:val="4F8627FB"/>
    <w:rsid w:val="4FA462B3"/>
    <w:rsid w:val="4FB1BF8D"/>
    <w:rsid w:val="4FE6773D"/>
    <w:rsid w:val="4FFF4815"/>
    <w:rsid w:val="4FFF9C60"/>
    <w:rsid w:val="4FFFE68E"/>
    <w:rsid w:val="50192406"/>
    <w:rsid w:val="5039786D"/>
    <w:rsid w:val="5057A927"/>
    <w:rsid w:val="506348EA"/>
    <w:rsid w:val="507028FD"/>
    <w:rsid w:val="507C62DD"/>
    <w:rsid w:val="508D1967"/>
    <w:rsid w:val="50B20CEB"/>
    <w:rsid w:val="50E517A3"/>
    <w:rsid w:val="5167040A"/>
    <w:rsid w:val="521E54EC"/>
    <w:rsid w:val="522E2CD6"/>
    <w:rsid w:val="527E3C5D"/>
    <w:rsid w:val="537F371B"/>
    <w:rsid w:val="53EF036E"/>
    <w:rsid w:val="543B45CF"/>
    <w:rsid w:val="545D5AF4"/>
    <w:rsid w:val="547370C6"/>
    <w:rsid w:val="54CF07A0"/>
    <w:rsid w:val="55164621"/>
    <w:rsid w:val="552F2E36"/>
    <w:rsid w:val="558D41B7"/>
    <w:rsid w:val="55FE57CA"/>
    <w:rsid w:val="56231F37"/>
    <w:rsid w:val="562B40FC"/>
    <w:rsid w:val="563C6D66"/>
    <w:rsid w:val="565C4B5A"/>
    <w:rsid w:val="57034731"/>
    <w:rsid w:val="5773B3CA"/>
    <w:rsid w:val="577D8FE5"/>
    <w:rsid w:val="578E37A1"/>
    <w:rsid w:val="579D2DD8"/>
    <w:rsid w:val="57DB3900"/>
    <w:rsid w:val="58C76ABA"/>
    <w:rsid w:val="58E10AA2"/>
    <w:rsid w:val="58FEE5D4"/>
    <w:rsid w:val="592B7F6F"/>
    <w:rsid w:val="5957846C"/>
    <w:rsid w:val="59941FB8"/>
    <w:rsid w:val="59B7FD6A"/>
    <w:rsid w:val="59BE6F19"/>
    <w:rsid w:val="59CA59DA"/>
    <w:rsid w:val="59E7033A"/>
    <w:rsid w:val="59F85334"/>
    <w:rsid w:val="5A026F22"/>
    <w:rsid w:val="5A696FA1"/>
    <w:rsid w:val="5AC02939"/>
    <w:rsid w:val="5B523ED9"/>
    <w:rsid w:val="5B6EF112"/>
    <w:rsid w:val="5B955B74"/>
    <w:rsid w:val="5BB22415"/>
    <w:rsid w:val="5C3F445D"/>
    <w:rsid w:val="5C8400C2"/>
    <w:rsid w:val="5C910A31"/>
    <w:rsid w:val="5D415FB3"/>
    <w:rsid w:val="5D6C7344"/>
    <w:rsid w:val="5D75321E"/>
    <w:rsid w:val="5DFF6E54"/>
    <w:rsid w:val="5E007C1C"/>
    <w:rsid w:val="5E2D3236"/>
    <w:rsid w:val="5E5E5BE2"/>
    <w:rsid w:val="5EA551F5"/>
    <w:rsid w:val="5EBFBAE5"/>
    <w:rsid w:val="5EFF71F7"/>
    <w:rsid w:val="5F3F7E06"/>
    <w:rsid w:val="5F41673E"/>
    <w:rsid w:val="5F4D50E3"/>
    <w:rsid w:val="5F773F0E"/>
    <w:rsid w:val="5F9B1F2D"/>
    <w:rsid w:val="5FB70BF2"/>
    <w:rsid w:val="5FBA3DFB"/>
    <w:rsid w:val="5FDD8864"/>
    <w:rsid w:val="5FDE9966"/>
    <w:rsid w:val="5FF53760"/>
    <w:rsid w:val="5FF732A1"/>
    <w:rsid w:val="5FFE14E1"/>
    <w:rsid w:val="60651FB9"/>
    <w:rsid w:val="60675D31"/>
    <w:rsid w:val="60CB5393"/>
    <w:rsid w:val="610F0A45"/>
    <w:rsid w:val="618A51FD"/>
    <w:rsid w:val="61AF2FE3"/>
    <w:rsid w:val="622C5484"/>
    <w:rsid w:val="62600C89"/>
    <w:rsid w:val="62BD60DC"/>
    <w:rsid w:val="62C27B96"/>
    <w:rsid w:val="6346230D"/>
    <w:rsid w:val="63521D29"/>
    <w:rsid w:val="635B32B1"/>
    <w:rsid w:val="635B9023"/>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1F375C"/>
    <w:rsid w:val="666A3541"/>
    <w:rsid w:val="670B01C0"/>
    <w:rsid w:val="676FC33B"/>
    <w:rsid w:val="67F3D168"/>
    <w:rsid w:val="67FF7476"/>
    <w:rsid w:val="68045877"/>
    <w:rsid w:val="682235A3"/>
    <w:rsid w:val="682D5AB2"/>
    <w:rsid w:val="68456707"/>
    <w:rsid w:val="685A261F"/>
    <w:rsid w:val="68C53B15"/>
    <w:rsid w:val="69074555"/>
    <w:rsid w:val="692F7608"/>
    <w:rsid w:val="693DF37A"/>
    <w:rsid w:val="695232F6"/>
    <w:rsid w:val="69780FAF"/>
    <w:rsid w:val="69CB5582"/>
    <w:rsid w:val="69F956C0"/>
    <w:rsid w:val="6A3F1ACC"/>
    <w:rsid w:val="6A522671"/>
    <w:rsid w:val="6A696B49"/>
    <w:rsid w:val="6A7C4ACE"/>
    <w:rsid w:val="6ACB22C2"/>
    <w:rsid w:val="6BCC55E2"/>
    <w:rsid w:val="6BEA0C2D"/>
    <w:rsid w:val="6BF78DFF"/>
    <w:rsid w:val="6C1D5E3D"/>
    <w:rsid w:val="6C264CF2"/>
    <w:rsid w:val="6C3311BD"/>
    <w:rsid w:val="6C3C39CA"/>
    <w:rsid w:val="6C4B4758"/>
    <w:rsid w:val="6C6A0E2B"/>
    <w:rsid w:val="6C801864"/>
    <w:rsid w:val="6CA43E69"/>
    <w:rsid w:val="6D946D06"/>
    <w:rsid w:val="6DF27FD2"/>
    <w:rsid w:val="6DFDE23D"/>
    <w:rsid w:val="6E615BFD"/>
    <w:rsid w:val="6E71421E"/>
    <w:rsid w:val="6ED21161"/>
    <w:rsid w:val="6EF9AE52"/>
    <w:rsid w:val="6F1654F2"/>
    <w:rsid w:val="6F1E7F02"/>
    <w:rsid w:val="6F3040D9"/>
    <w:rsid w:val="6F4F026E"/>
    <w:rsid w:val="6F5D6569"/>
    <w:rsid w:val="6F765F90"/>
    <w:rsid w:val="6F7FDFB1"/>
    <w:rsid w:val="6F9401C4"/>
    <w:rsid w:val="6FD902CD"/>
    <w:rsid w:val="6FEC785D"/>
    <w:rsid w:val="6FEE1F63"/>
    <w:rsid w:val="6FF005A6"/>
    <w:rsid w:val="6FF21006"/>
    <w:rsid w:val="6FFF514B"/>
    <w:rsid w:val="6FFF9A74"/>
    <w:rsid w:val="70C60851"/>
    <w:rsid w:val="70C64CF5"/>
    <w:rsid w:val="70FEC48C"/>
    <w:rsid w:val="714F6A99"/>
    <w:rsid w:val="71DB032D"/>
    <w:rsid w:val="71DE5408"/>
    <w:rsid w:val="71F0075E"/>
    <w:rsid w:val="723637B5"/>
    <w:rsid w:val="724265FE"/>
    <w:rsid w:val="72DF0932"/>
    <w:rsid w:val="73301622"/>
    <w:rsid w:val="733BB6D5"/>
    <w:rsid w:val="7343262D"/>
    <w:rsid w:val="738B5D82"/>
    <w:rsid w:val="73FA37E8"/>
    <w:rsid w:val="743957DE"/>
    <w:rsid w:val="744523C5"/>
    <w:rsid w:val="745037BC"/>
    <w:rsid w:val="7460720F"/>
    <w:rsid w:val="7463506E"/>
    <w:rsid w:val="74A40EAA"/>
    <w:rsid w:val="74F7BFB3"/>
    <w:rsid w:val="753FE270"/>
    <w:rsid w:val="767C2482"/>
    <w:rsid w:val="76BF1D50"/>
    <w:rsid w:val="76FF9AAE"/>
    <w:rsid w:val="77BE6922"/>
    <w:rsid w:val="77E10D61"/>
    <w:rsid w:val="77F71C38"/>
    <w:rsid w:val="77FA34D6"/>
    <w:rsid w:val="77FB84DA"/>
    <w:rsid w:val="77FC3147"/>
    <w:rsid w:val="77FE3F73"/>
    <w:rsid w:val="77FF68EE"/>
    <w:rsid w:val="78016613"/>
    <w:rsid w:val="78270946"/>
    <w:rsid w:val="786B1CDE"/>
    <w:rsid w:val="78853E63"/>
    <w:rsid w:val="78B27C05"/>
    <w:rsid w:val="78D51699"/>
    <w:rsid w:val="78DF4F2A"/>
    <w:rsid w:val="78FD410D"/>
    <w:rsid w:val="78FD502C"/>
    <w:rsid w:val="790A5798"/>
    <w:rsid w:val="79367029"/>
    <w:rsid w:val="799FAD44"/>
    <w:rsid w:val="79A96F62"/>
    <w:rsid w:val="79C42DA7"/>
    <w:rsid w:val="79DC699D"/>
    <w:rsid w:val="7A031D57"/>
    <w:rsid w:val="7A3613CA"/>
    <w:rsid w:val="7AAFE489"/>
    <w:rsid w:val="7ACBD6F1"/>
    <w:rsid w:val="7AF4420D"/>
    <w:rsid w:val="7AFE508C"/>
    <w:rsid w:val="7AFE80EB"/>
    <w:rsid w:val="7B09415C"/>
    <w:rsid w:val="7B3D3D71"/>
    <w:rsid w:val="7B5573A2"/>
    <w:rsid w:val="7BC54194"/>
    <w:rsid w:val="7BD6847C"/>
    <w:rsid w:val="7BDD631B"/>
    <w:rsid w:val="7BFBC6BB"/>
    <w:rsid w:val="7BFC8FEB"/>
    <w:rsid w:val="7BFF7B36"/>
    <w:rsid w:val="7CB76EB7"/>
    <w:rsid w:val="7CEE976E"/>
    <w:rsid w:val="7CF151B2"/>
    <w:rsid w:val="7D124E1E"/>
    <w:rsid w:val="7D2A54B9"/>
    <w:rsid w:val="7D2DFB94"/>
    <w:rsid w:val="7D2FFAEA"/>
    <w:rsid w:val="7D55BD82"/>
    <w:rsid w:val="7D7A67D5"/>
    <w:rsid w:val="7D817E5A"/>
    <w:rsid w:val="7D871368"/>
    <w:rsid w:val="7D887789"/>
    <w:rsid w:val="7D8C697F"/>
    <w:rsid w:val="7D9B4E14"/>
    <w:rsid w:val="7DBA7990"/>
    <w:rsid w:val="7DD89C55"/>
    <w:rsid w:val="7DDF13A8"/>
    <w:rsid w:val="7DDFE0AB"/>
    <w:rsid w:val="7DF6AAA5"/>
    <w:rsid w:val="7DFBBD91"/>
    <w:rsid w:val="7E1D5009"/>
    <w:rsid w:val="7E374A9D"/>
    <w:rsid w:val="7E3DC628"/>
    <w:rsid w:val="7E6FD492"/>
    <w:rsid w:val="7E745D91"/>
    <w:rsid w:val="7E747B3F"/>
    <w:rsid w:val="7E7B9412"/>
    <w:rsid w:val="7E97EE27"/>
    <w:rsid w:val="7EB048EF"/>
    <w:rsid w:val="7EBFE655"/>
    <w:rsid w:val="7EDCF145"/>
    <w:rsid w:val="7EEF98BA"/>
    <w:rsid w:val="7EF0CE1D"/>
    <w:rsid w:val="7EF33589"/>
    <w:rsid w:val="7EF371DE"/>
    <w:rsid w:val="7F23B549"/>
    <w:rsid w:val="7F5B9BE6"/>
    <w:rsid w:val="7F7B21C8"/>
    <w:rsid w:val="7F7DC20B"/>
    <w:rsid w:val="7F7E91F3"/>
    <w:rsid w:val="7F7F8EB6"/>
    <w:rsid w:val="7F930498"/>
    <w:rsid w:val="7F96544F"/>
    <w:rsid w:val="7FA61257"/>
    <w:rsid w:val="7FBA2C79"/>
    <w:rsid w:val="7FBC5A54"/>
    <w:rsid w:val="7FBF938A"/>
    <w:rsid w:val="7FBFEA07"/>
    <w:rsid w:val="7FD25700"/>
    <w:rsid w:val="7FDB9800"/>
    <w:rsid w:val="7FDEFDCA"/>
    <w:rsid w:val="7FE650B7"/>
    <w:rsid w:val="7FF4B7E5"/>
    <w:rsid w:val="7FF60165"/>
    <w:rsid w:val="7FFB8230"/>
    <w:rsid w:val="7FFD03F7"/>
    <w:rsid w:val="7FFD896E"/>
    <w:rsid w:val="7FFF15B7"/>
    <w:rsid w:val="85F5E869"/>
    <w:rsid w:val="8BEB02D3"/>
    <w:rsid w:val="8C3A6288"/>
    <w:rsid w:val="8D6E2A02"/>
    <w:rsid w:val="93E7F62D"/>
    <w:rsid w:val="96E9FBDE"/>
    <w:rsid w:val="97FE9DDF"/>
    <w:rsid w:val="97FF526E"/>
    <w:rsid w:val="997751FC"/>
    <w:rsid w:val="99FCF0AD"/>
    <w:rsid w:val="9B46B894"/>
    <w:rsid w:val="9E3E847E"/>
    <w:rsid w:val="9FBDD79F"/>
    <w:rsid w:val="A9FFBE28"/>
    <w:rsid w:val="ABF3D279"/>
    <w:rsid w:val="AF77C4A8"/>
    <w:rsid w:val="AFF785C3"/>
    <w:rsid w:val="AFFA290E"/>
    <w:rsid w:val="AFFFBFBD"/>
    <w:rsid w:val="B2BFC0B9"/>
    <w:rsid w:val="B35F9EE6"/>
    <w:rsid w:val="B7DB73D0"/>
    <w:rsid w:val="BB7E983F"/>
    <w:rsid w:val="BBFC4177"/>
    <w:rsid w:val="BBFFC68E"/>
    <w:rsid w:val="BCFDC13A"/>
    <w:rsid w:val="BCFF60B7"/>
    <w:rsid w:val="BCFFA3F3"/>
    <w:rsid w:val="BD5E9AC8"/>
    <w:rsid w:val="BDEF8139"/>
    <w:rsid w:val="BDF57D7F"/>
    <w:rsid w:val="BDF9BAD6"/>
    <w:rsid w:val="BE7C35A1"/>
    <w:rsid w:val="BEC5621C"/>
    <w:rsid w:val="BEE3B0D7"/>
    <w:rsid w:val="BEFE07D2"/>
    <w:rsid w:val="BF6F8258"/>
    <w:rsid w:val="BF7E1FC8"/>
    <w:rsid w:val="BFD7E912"/>
    <w:rsid w:val="BFDC1BE5"/>
    <w:rsid w:val="BFDF4035"/>
    <w:rsid w:val="BFF19CC1"/>
    <w:rsid w:val="BFF395C2"/>
    <w:rsid w:val="BFFB74DD"/>
    <w:rsid w:val="C3D7D45E"/>
    <w:rsid w:val="C5ED2061"/>
    <w:rsid w:val="C5FD1631"/>
    <w:rsid w:val="C67DF352"/>
    <w:rsid w:val="C76F889B"/>
    <w:rsid w:val="C7BEDD75"/>
    <w:rsid w:val="CADDC3C6"/>
    <w:rsid w:val="CAED4D35"/>
    <w:rsid w:val="CCF9DF7B"/>
    <w:rsid w:val="CEFDBF02"/>
    <w:rsid w:val="CFB21497"/>
    <w:rsid w:val="CFFBF0B8"/>
    <w:rsid w:val="CFFC2F28"/>
    <w:rsid w:val="D4CD0CA6"/>
    <w:rsid w:val="D5717BE2"/>
    <w:rsid w:val="D5EF42BC"/>
    <w:rsid w:val="D6BEDD52"/>
    <w:rsid w:val="D79F0258"/>
    <w:rsid w:val="D7BF8066"/>
    <w:rsid w:val="D97DEA6C"/>
    <w:rsid w:val="DABD22A0"/>
    <w:rsid w:val="DAF7950A"/>
    <w:rsid w:val="DAFF60A7"/>
    <w:rsid w:val="DBEF11B4"/>
    <w:rsid w:val="DDBF800D"/>
    <w:rsid w:val="DDDFF55F"/>
    <w:rsid w:val="DEBDCF19"/>
    <w:rsid w:val="DF79D8B0"/>
    <w:rsid w:val="DFADE370"/>
    <w:rsid w:val="DFAFF34C"/>
    <w:rsid w:val="DFD34E4D"/>
    <w:rsid w:val="DFF8A1A5"/>
    <w:rsid w:val="DFF8F9D2"/>
    <w:rsid w:val="E17D7440"/>
    <w:rsid w:val="E1FDE17E"/>
    <w:rsid w:val="E3CE1A8B"/>
    <w:rsid w:val="E6A767BE"/>
    <w:rsid w:val="E7CE65DC"/>
    <w:rsid w:val="E7CF4065"/>
    <w:rsid w:val="E7ECC4C0"/>
    <w:rsid w:val="E9FE1762"/>
    <w:rsid w:val="EBDBD6F9"/>
    <w:rsid w:val="EBEE9053"/>
    <w:rsid w:val="EBFD0C98"/>
    <w:rsid w:val="EC7F9E04"/>
    <w:rsid w:val="ECADA382"/>
    <w:rsid w:val="ECCEA633"/>
    <w:rsid w:val="ED757AAC"/>
    <w:rsid w:val="ED7D48A6"/>
    <w:rsid w:val="EDA590F6"/>
    <w:rsid w:val="EDCFBC5E"/>
    <w:rsid w:val="EDE59BF0"/>
    <w:rsid w:val="EDFF0E0F"/>
    <w:rsid w:val="EEAB9F4B"/>
    <w:rsid w:val="EEAEA2F0"/>
    <w:rsid w:val="EEFF9811"/>
    <w:rsid w:val="EF771546"/>
    <w:rsid w:val="EFDE0C5F"/>
    <w:rsid w:val="EFF17EB3"/>
    <w:rsid w:val="EFFD6861"/>
    <w:rsid w:val="F3DB38F4"/>
    <w:rsid w:val="F4E87A32"/>
    <w:rsid w:val="F4EF36E1"/>
    <w:rsid w:val="F567A33A"/>
    <w:rsid w:val="F5B5D6BC"/>
    <w:rsid w:val="F5F51202"/>
    <w:rsid w:val="F5F74323"/>
    <w:rsid w:val="F5FA9187"/>
    <w:rsid w:val="F66DFF9E"/>
    <w:rsid w:val="F69CB047"/>
    <w:rsid w:val="F6C34112"/>
    <w:rsid w:val="F6DFAC65"/>
    <w:rsid w:val="F72C4391"/>
    <w:rsid w:val="F75FC83D"/>
    <w:rsid w:val="F76877E4"/>
    <w:rsid w:val="F79F2741"/>
    <w:rsid w:val="F7FCBA78"/>
    <w:rsid w:val="F9775F6D"/>
    <w:rsid w:val="F9FD5FD7"/>
    <w:rsid w:val="FBAF1CBE"/>
    <w:rsid w:val="FBB743DA"/>
    <w:rsid w:val="FBBD3CD6"/>
    <w:rsid w:val="FBDFCB4A"/>
    <w:rsid w:val="FBF67256"/>
    <w:rsid w:val="FBFE82B8"/>
    <w:rsid w:val="FBFFEE8D"/>
    <w:rsid w:val="FCAFB9A8"/>
    <w:rsid w:val="FCE6EAC1"/>
    <w:rsid w:val="FCF668FE"/>
    <w:rsid w:val="FCFF8D00"/>
    <w:rsid w:val="FD3F7EB1"/>
    <w:rsid w:val="FD569665"/>
    <w:rsid w:val="FD6F0634"/>
    <w:rsid w:val="FDFB8A59"/>
    <w:rsid w:val="FE731471"/>
    <w:rsid w:val="FE770BED"/>
    <w:rsid w:val="FE7F1FC1"/>
    <w:rsid w:val="FEBFD427"/>
    <w:rsid w:val="FECB5CCF"/>
    <w:rsid w:val="FEDEB30B"/>
    <w:rsid w:val="FEEAEC7B"/>
    <w:rsid w:val="FEEE7F5D"/>
    <w:rsid w:val="FEF8BF4B"/>
    <w:rsid w:val="FEFB79F8"/>
    <w:rsid w:val="FEFBB7CA"/>
    <w:rsid w:val="FF241223"/>
    <w:rsid w:val="FF32264E"/>
    <w:rsid w:val="FF5752F8"/>
    <w:rsid w:val="FF582651"/>
    <w:rsid w:val="FF671154"/>
    <w:rsid w:val="FF7D2C37"/>
    <w:rsid w:val="FF7F85C9"/>
    <w:rsid w:val="FF7FA245"/>
    <w:rsid w:val="FFBF86FE"/>
    <w:rsid w:val="FFC5F143"/>
    <w:rsid w:val="FFD37126"/>
    <w:rsid w:val="FFDB3F90"/>
    <w:rsid w:val="FFDB9757"/>
    <w:rsid w:val="FFE59BEC"/>
    <w:rsid w:val="FFEBF9AE"/>
    <w:rsid w:val="FFF3D209"/>
    <w:rsid w:val="FFF94342"/>
    <w:rsid w:val="FFFB088A"/>
    <w:rsid w:val="FFFB1B1C"/>
    <w:rsid w:val="FFFBA691"/>
    <w:rsid w:val="FFFD2A81"/>
    <w:rsid w:val="FFFEC595"/>
    <w:rsid w:val="FFFF09CB"/>
    <w:rsid w:val="FFFF5333"/>
    <w:rsid w:val="FFFFB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ind w:firstLine="640" w:firstLineChars="200"/>
    </w:pPr>
    <w:rPr>
      <w:sz w:val="32"/>
    </w:rPr>
  </w:style>
  <w:style w:type="paragraph" w:styleId="4">
    <w:name w:val="Normal Indent"/>
    <w:basedOn w:val="1"/>
    <w:qFormat/>
    <w:uiPriority w:val="0"/>
    <w:pPr>
      <w:ind w:firstLine="420" w:firstLineChars="200"/>
    </w:pPr>
    <w:rPr>
      <w:rFonts w:eastAsia="仿宋"/>
      <w:sz w:val="32"/>
    </w:rPr>
  </w:style>
  <w:style w:type="paragraph" w:styleId="7">
    <w:name w:val="toa heading"/>
    <w:basedOn w:val="1"/>
    <w:next w:val="1"/>
    <w:qFormat/>
    <w:uiPriority w:val="0"/>
    <w:pPr>
      <w:spacing w:before="120" w:after="200" w:line="276" w:lineRule="auto"/>
    </w:pPr>
    <w:rPr>
      <w:rFonts w:ascii="Arial" w:hAnsi="Arial" w:eastAsia="宋体"/>
      <w:sz w:val="24"/>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NormalCharacter"/>
    <w:semiHidden/>
    <w:qFormat/>
    <w:uiPriority w:val="0"/>
  </w:style>
  <w:style w:type="paragraph" w:customStyle="1" w:styleId="15">
    <w:name w:val="No Spacing_ad81b47b-6779-4c76-b471-79375858c8cb"/>
    <w:basedOn w:val="1"/>
    <w:qFormat/>
    <w:uiPriority w:val="0"/>
    <w:pPr>
      <w:ind w:firstLine="200" w:firstLineChars="200"/>
    </w:pPr>
    <w:rPr>
      <w:rFonts w:ascii="Calibri" w:hAnsi="Calibri" w:cs="宋体"/>
      <w:szCs w:val="21"/>
    </w:rPr>
  </w:style>
  <w:style w:type="character" w:customStyle="1" w:styleId="16">
    <w:name w:val="15"/>
    <w:basedOn w:val="12"/>
    <w:qFormat/>
    <w:uiPriority w:val="0"/>
    <w:rPr>
      <w:rFonts w:hint="default" w:ascii="Times New Roman" w:hAnsi="Times New Roman" w:cs="Times New Roman"/>
    </w:rPr>
  </w:style>
  <w:style w:type="character" w:customStyle="1" w:styleId="17">
    <w:name w:val="10"/>
    <w:basedOn w:val="12"/>
    <w:qFormat/>
    <w:uiPriority w:val="0"/>
    <w:rPr>
      <w:rFonts w:hint="default" w:ascii="Times New Roman" w:hAnsi="Times New Roman" w:cs="Times New Roman"/>
    </w:rPr>
  </w:style>
  <w:style w:type="paragraph" w:customStyle="1" w:styleId="18">
    <w:name w:val="toa heading1"/>
    <w:basedOn w:val="1"/>
    <w:next w:val="1"/>
    <w:qFormat/>
    <w:uiPriority w:val="0"/>
    <w:pPr>
      <w:spacing w:before="120" w:beforeLines="0" w:after="200" w:afterLines="0" w:line="276" w:lineRule="auto"/>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4510</Words>
  <Characters>4803</Characters>
  <Lines>1</Lines>
  <Paragraphs>1</Paragraphs>
  <TotalTime>307</TotalTime>
  <ScaleCrop>false</ScaleCrop>
  <LinksUpToDate>false</LinksUpToDate>
  <CharactersWithSpaces>5061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2021-04-23T23:48:00Z</dcterms:created>
  <dc:creator>彭礼孝</dc:creator>
  <cp:lastModifiedBy>Administrator</cp:lastModifiedBy>
  <cp:lastPrinted>2024-07-10T09:50:03Z</cp:lastPrinted>
  <dcterms:modified xsi:type="dcterms:W3CDTF">2024-07-10T09:51:52Z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24C225D870CB5326C34A5066A8B2E65C</vt:lpwstr>
  </property>
</Properties>
</file>