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pPr>
        <w:spacing w:line="600" w:lineRule="exact"/>
        <w:jc w:val="center"/>
        <w:rPr>
          <w:rFonts w:hint="default" w:ascii="方正大标宋简体" w:hAnsi="方正大标宋简体" w:eastAsia="方正大标宋简体" w:cs="方正大标宋简体"/>
          <w:b w:val="0"/>
          <w:bCs/>
          <w:kern w:val="0"/>
          <w:sz w:val="44"/>
          <w:szCs w:val="44"/>
          <w:lang w:val="en-US" w:eastAsia="zh-CN"/>
        </w:rPr>
      </w:pPr>
      <w:r>
        <w:rPr>
          <w:rFonts w:hint="eastAsia" w:ascii="方正大标宋简体" w:hAnsi="方正大标宋简体" w:eastAsia="方正大标宋简体" w:cs="方正大标宋简体"/>
          <w:b w:val="0"/>
          <w:bCs/>
          <w:kern w:val="0"/>
          <w:sz w:val="44"/>
          <w:szCs w:val="44"/>
          <w:lang w:val="en-US" w:eastAsia="zh-CN"/>
        </w:rPr>
        <w:t>隆回县交通运输综合行政执法大队</w:t>
      </w: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pPr>
        <w:ind w:firstLine="420" w:firstLineChars="20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spacing w:line="600" w:lineRule="exact"/>
        <w:ind w:firstLine="640" w:firstLineChars="200"/>
        <w:jc w:val="left"/>
        <w:rPr>
          <w:rFonts w:hint="default" w:ascii="仿宋" w:hAnsi="仿宋" w:eastAsia="仿宋" w:cs="仿宋"/>
          <w:sz w:val="32"/>
          <w:szCs w:val="32"/>
          <w:lang w:val="en-US" w:eastAsia="zh-CN"/>
        </w:rPr>
      </w:pPr>
      <w:r>
        <w:rPr>
          <w:rFonts w:hint="eastAsia" w:ascii="华文楷体" w:hAnsi="华文楷体" w:eastAsia="华文楷体" w:cs="华文楷体"/>
          <w:b/>
          <w:bCs w:val="0"/>
          <w:sz w:val="32"/>
          <w:szCs w:val="32"/>
          <w:lang w:val="en-US" w:eastAsia="zh-CN"/>
        </w:rPr>
        <w:t>机构设置情况：</w:t>
      </w:r>
      <w:r>
        <w:rPr>
          <w:rFonts w:hint="eastAsia" w:ascii="仿宋" w:hAnsi="仿宋" w:eastAsia="仿宋" w:cs="仿宋"/>
          <w:sz w:val="32"/>
          <w:szCs w:val="32"/>
          <w:lang w:val="en-US" w:eastAsia="zh-CN"/>
        </w:rPr>
        <w:t>隆回县交通运输综合行政执法大队有</w:t>
      </w:r>
      <w:r>
        <w:rPr>
          <w:rFonts w:hint="eastAsia" w:ascii="仿宋" w:hAnsi="仿宋" w:eastAsia="仿宋" w:cs="仿宋"/>
          <w:sz w:val="32"/>
          <w:szCs w:val="32"/>
        </w:rPr>
        <w:t>综合股(财务股)</w:t>
      </w:r>
      <w:r>
        <w:rPr>
          <w:rFonts w:hint="eastAsia" w:ascii="仿宋" w:hAnsi="仿宋" w:eastAsia="仿宋" w:cs="仿宋"/>
          <w:sz w:val="32"/>
          <w:szCs w:val="32"/>
          <w:lang w:eastAsia="zh-CN"/>
        </w:rPr>
        <w:t>、</w:t>
      </w:r>
      <w:r>
        <w:rPr>
          <w:rFonts w:hint="eastAsia" w:ascii="仿宋" w:hAnsi="仿宋" w:eastAsia="仿宋" w:cs="仿宋"/>
          <w:sz w:val="32"/>
          <w:szCs w:val="32"/>
        </w:rPr>
        <w:t>人事教育股</w:t>
      </w:r>
      <w:r>
        <w:rPr>
          <w:rFonts w:hint="eastAsia" w:ascii="仿宋" w:hAnsi="仿宋" w:eastAsia="仿宋" w:cs="仿宋"/>
          <w:sz w:val="32"/>
          <w:szCs w:val="32"/>
          <w:lang w:eastAsia="zh-CN"/>
        </w:rPr>
        <w:t>、</w:t>
      </w:r>
      <w:r>
        <w:rPr>
          <w:rFonts w:hint="eastAsia" w:ascii="仿宋" w:hAnsi="仿宋" w:eastAsia="仿宋" w:cs="仿宋"/>
          <w:sz w:val="32"/>
          <w:szCs w:val="32"/>
        </w:rPr>
        <w:t>政策法规股</w:t>
      </w:r>
      <w:r>
        <w:rPr>
          <w:rFonts w:hint="eastAsia" w:ascii="仿宋" w:hAnsi="仿宋" w:eastAsia="仿宋" w:cs="仿宋"/>
          <w:sz w:val="32"/>
          <w:szCs w:val="32"/>
          <w:lang w:eastAsia="zh-CN"/>
        </w:rPr>
        <w:t>、</w:t>
      </w:r>
      <w:r>
        <w:rPr>
          <w:rFonts w:hint="eastAsia" w:ascii="仿宋" w:hAnsi="仿宋" w:eastAsia="仿宋" w:cs="仿宋"/>
          <w:sz w:val="32"/>
          <w:szCs w:val="32"/>
        </w:rPr>
        <w:t>科技信息股</w:t>
      </w:r>
      <w:r>
        <w:rPr>
          <w:rFonts w:hint="eastAsia" w:ascii="仿宋" w:hAnsi="仿宋" w:eastAsia="仿宋" w:cs="仿宋"/>
          <w:sz w:val="32"/>
          <w:szCs w:val="32"/>
          <w:lang w:eastAsia="zh-CN"/>
        </w:rPr>
        <w:t>、</w:t>
      </w:r>
      <w:r>
        <w:rPr>
          <w:rFonts w:hint="eastAsia" w:ascii="仿宋" w:hAnsi="仿宋" w:eastAsia="仿宋" w:cs="仿宋"/>
          <w:sz w:val="32"/>
          <w:szCs w:val="32"/>
        </w:rPr>
        <w:t>安全股</w:t>
      </w:r>
      <w:r>
        <w:rPr>
          <w:rFonts w:hint="eastAsia" w:ascii="仿宋" w:hAnsi="仿宋" w:eastAsia="仿宋" w:cs="仿宋"/>
          <w:sz w:val="32"/>
          <w:szCs w:val="32"/>
          <w:lang w:eastAsia="zh-CN"/>
        </w:rPr>
        <w:t>、</w:t>
      </w:r>
      <w:r>
        <w:rPr>
          <w:rFonts w:hint="eastAsia" w:ascii="仿宋" w:hAnsi="仿宋" w:eastAsia="仿宋" w:cs="仿宋"/>
          <w:sz w:val="32"/>
          <w:szCs w:val="32"/>
        </w:rPr>
        <w:t>城市客运执法中队</w:t>
      </w:r>
      <w:r>
        <w:rPr>
          <w:rFonts w:hint="eastAsia" w:ascii="仿宋" w:hAnsi="仿宋" w:eastAsia="仿宋" w:cs="仿宋"/>
          <w:sz w:val="32"/>
          <w:szCs w:val="32"/>
          <w:lang w:eastAsia="zh-CN"/>
        </w:rPr>
        <w:t>、</w:t>
      </w:r>
      <w:r>
        <w:rPr>
          <w:rFonts w:hint="eastAsia" w:ascii="仿宋" w:hAnsi="仿宋" w:eastAsia="仿宋" w:cs="仿宋"/>
          <w:sz w:val="32"/>
          <w:szCs w:val="32"/>
        </w:rPr>
        <w:t>机动中队内</w:t>
      </w:r>
      <w:r>
        <w:rPr>
          <w:rFonts w:hint="eastAsia" w:ascii="仿宋" w:hAnsi="仿宋" w:eastAsia="仿宋" w:cs="仿宋"/>
          <w:sz w:val="32"/>
          <w:szCs w:val="32"/>
          <w:lang w:val="en-US" w:eastAsia="zh-CN"/>
        </w:rPr>
        <w:t>设</w:t>
      </w:r>
      <w:r>
        <w:rPr>
          <w:rFonts w:hint="eastAsia" w:ascii="仿宋" w:hAnsi="仿宋" w:eastAsia="仿宋" w:cs="仿宋"/>
          <w:sz w:val="32"/>
          <w:szCs w:val="32"/>
        </w:rPr>
        <w:t>机构共</w:t>
      </w:r>
      <w:r>
        <w:rPr>
          <w:rFonts w:hint="eastAsia" w:ascii="仿宋" w:hAnsi="仿宋" w:eastAsia="仿宋" w:cs="仿宋"/>
          <w:sz w:val="32"/>
          <w:szCs w:val="32"/>
          <w:lang w:val="en-US" w:eastAsia="zh-CN"/>
        </w:rPr>
        <w:t>7</w:t>
      </w:r>
      <w:r>
        <w:rPr>
          <w:rFonts w:hint="eastAsia" w:ascii="仿宋" w:hAnsi="仿宋" w:eastAsia="仿宋" w:cs="仿宋"/>
          <w:sz w:val="32"/>
          <w:szCs w:val="32"/>
        </w:rPr>
        <w:t>个，</w:t>
      </w:r>
      <w:r>
        <w:rPr>
          <w:rFonts w:hint="eastAsia" w:ascii="仿宋" w:hAnsi="仿宋" w:eastAsia="仿宋" w:cs="仿宋"/>
          <w:sz w:val="32"/>
          <w:szCs w:val="32"/>
          <w:lang w:val="en-US" w:eastAsia="zh-CN"/>
        </w:rPr>
        <w:t>另</w:t>
      </w:r>
      <w:r>
        <w:rPr>
          <w:rFonts w:hint="eastAsia" w:ascii="仿宋_GB2312" w:eastAsia="仿宋_GB2312"/>
          <w:spacing w:val="10"/>
          <w:sz w:val="32"/>
          <w:szCs w:val="32"/>
          <w:lang w:val="en-US" w:eastAsia="zh-CN"/>
        </w:rPr>
        <w:t>以</w:t>
      </w:r>
      <w:r>
        <w:rPr>
          <w:rFonts w:hint="eastAsia" w:ascii="仿宋" w:hAnsi="仿宋" w:eastAsia="仿宋" w:cs="仿宋"/>
          <w:color w:val="000000"/>
          <w:sz w:val="32"/>
          <w:szCs w:val="32"/>
          <w:lang w:val="en-US" w:eastAsia="zh-CN"/>
        </w:rPr>
        <w:t>乡镇（街道）区域设立治超执法中队和25个乡镇（街道）交通运输综合行政执法中队，为</w:t>
      </w:r>
      <w:r>
        <w:rPr>
          <w:rFonts w:hint="eastAsia" w:ascii="仿宋" w:hAnsi="仿宋" w:eastAsia="仿宋" w:cs="仿宋"/>
          <w:b w:val="0"/>
          <w:bCs w:val="0"/>
          <w:spacing w:val="8"/>
          <w:sz w:val="32"/>
          <w:szCs w:val="32"/>
          <w:shd w:val="clear" w:color="auto" w:fill="FFFFFF"/>
          <w:lang w:val="en-US" w:eastAsia="zh-CN"/>
        </w:rPr>
        <w:t>直属</w:t>
      </w:r>
      <w:r>
        <w:rPr>
          <w:rFonts w:hint="eastAsia" w:ascii="仿宋" w:hAnsi="仿宋" w:eastAsia="仿宋" w:cs="仿宋"/>
          <w:color w:val="000000"/>
          <w:sz w:val="32"/>
          <w:szCs w:val="32"/>
          <w:lang w:val="en-US" w:eastAsia="zh-CN"/>
        </w:rPr>
        <w:t>派出机构。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yellow"/>
        </w:rPr>
      </w:pPr>
      <w:r>
        <w:rPr>
          <w:rFonts w:hint="eastAsia" w:ascii="华文楷体" w:hAnsi="华文楷体" w:eastAsia="华文楷体" w:cs="华文楷体"/>
          <w:b/>
          <w:bCs w:val="0"/>
          <w:sz w:val="32"/>
          <w:szCs w:val="32"/>
          <w:lang w:val="en-US" w:eastAsia="zh-CN"/>
        </w:rPr>
        <w:t>人员编制情况：</w:t>
      </w:r>
      <w:r>
        <w:rPr>
          <w:rFonts w:hint="eastAsia" w:ascii="仿宋" w:hAnsi="仿宋" w:eastAsia="仿宋" w:cs="仿宋"/>
          <w:sz w:val="32"/>
          <w:szCs w:val="32"/>
          <w:lang w:val="en-US" w:eastAsia="zh-CN"/>
        </w:rPr>
        <w:t>隆回县交通运输综合行政执法大队</w:t>
      </w:r>
      <w:r>
        <w:rPr>
          <w:rFonts w:hint="eastAsia" w:ascii="仿宋" w:hAnsi="仿宋" w:eastAsia="仿宋" w:cs="仿宋"/>
          <w:sz w:val="32"/>
          <w:szCs w:val="32"/>
        </w:rPr>
        <w:t>编制人</w:t>
      </w:r>
      <w:r>
        <w:rPr>
          <w:rFonts w:hint="eastAsia" w:ascii="仿宋" w:hAnsi="仿宋" w:eastAsia="仿宋" w:cs="仿宋"/>
          <w:sz w:val="32"/>
          <w:szCs w:val="32"/>
          <w:highlight w:val="none"/>
        </w:rPr>
        <w:t>数为</w:t>
      </w:r>
      <w:r>
        <w:rPr>
          <w:rFonts w:hint="eastAsia" w:ascii="仿宋" w:hAnsi="仿宋" w:eastAsia="仿宋" w:cs="仿宋"/>
          <w:sz w:val="32"/>
          <w:szCs w:val="32"/>
          <w:highlight w:val="none"/>
          <w:lang w:val="en-US" w:eastAsia="zh-CN"/>
        </w:rPr>
        <w:t>119</w:t>
      </w:r>
      <w:r>
        <w:rPr>
          <w:rFonts w:hint="eastAsia" w:ascii="仿宋" w:hAnsi="仿宋" w:eastAsia="仿宋" w:cs="仿宋"/>
          <w:sz w:val="32"/>
          <w:szCs w:val="32"/>
          <w:highlight w:val="none"/>
        </w:rPr>
        <w:t>人，实际</w:t>
      </w:r>
      <w:r>
        <w:rPr>
          <w:rFonts w:hint="eastAsia" w:ascii="仿宋" w:hAnsi="仿宋" w:eastAsia="仿宋" w:cs="仿宋"/>
          <w:sz w:val="32"/>
          <w:szCs w:val="32"/>
          <w:highlight w:val="none"/>
          <w:lang w:eastAsia="zh-CN"/>
        </w:rPr>
        <w:t>在职</w:t>
      </w:r>
      <w:r>
        <w:rPr>
          <w:rFonts w:hint="eastAsia" w:ascii="仿宋" w:hAnsi="仿宋" w:eastAsia="仿宋" w:cs="仿宋"/>
          <w:sz w:val="32"/>
          <w:szCs w:val="32"/>
          <w:highlight w:val="none"/>
        </w:rPr>
        <w:t>人数</w:t>
      </w:r>
      <w:r>
        <w:rPr>
          <w:rFonts w:hint="eastAsia" w:ascii="仿宋" w:hAnsi="仿宋" w:eastAsia="仿宋" w:cs="仿宋"/>
          <w:sz w:val="32"/>
          <w:szCs w:val="32"/>
          <w:highlight w:val="none"/>
          <w:lang w:val="en-US" w:eastAsia="zh-CN"/>
        </w:rPr>
        <w:t>136</w:t>
      </w:r>
      <w:r>
        <w:rPr>
          <w:rFonts w:hint="eastAsia" w:ascii="仿宋" w:hAnsi="仿宋" w:eastAsia="仿宋" w:cs="仿宋"/>
          <w:sz w:val="32"/>
          <w:szCs w:val="32"/>
          <w:highlight w:val="none"/>
        </w:rPr>
        <w:t>人。</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华文楷体" w:hAnsi="华文楷体" w:eastAsia="华文楷体" w:cs="华文楷体"/>
          <w:b/>
          <w:bCs w:val="0"/>
          <w:sz w:val="32"/>
          <w:szCs w:val="32"/>
          <w:lang w:val="en-US" w:eastAsia="zh-CN"/>
        </w:rPr>
      </w:pPr>
      <w:r>
        <w:rPr>
          <w:rFonts w:hint="eastAsia" w:ascii="华文楷体" w:hAnsi="华文楷体" w:eastAsia="华文楷体" w:cs="华文楷体"/>
          <w:b/>
          <w:bCs w:val="0"/>
          <w:sz w:val="32"/>
          <w:szCs w:val="32"/>
          <w:lang w:val="en-US" w:eastAsia="zh-CN"/>
        </w:rPr>
        <w:t>主要职能职责：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(一)贯彻执行有关交通运输行政执法的法律、法规、规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章、政策;组织拟订全县交通运输综合行政执法工作规划并组织实施。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根据交通运输行政管理法律、法规、规章具体行使本县辖区内公路路政、道路运政、城市客运、水路运政、航道行政、港口行政、地方海事行政以及按具体管理权限行使工程质量监督管理等执法门类的行政处罚以及与行政处罚相关的行政检查、行政强制等方面的行政执法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(三)负责处理职责范围内的违法违规行为投诉举报，依法纠正和查处有关违法违规行为。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(四)负责有关交通运输行政执法的法律、法规和规章的普法宣传工作。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(五)负责交通运输行政执法队伍的教育培训、考核、监督和行风建设工作。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(六)负责全县道路运输战备车辆及重点物资运输的应急保障组织调度。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(七)承担职责范围内的安全、维稳工作。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(八)承担县委县政府及县交通运输局交办的其他任务。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val="0"/>
          <w:sz w:val="32"/>
          <w:szCs w:val="32"/>
          <w:lang w:val="en-US" w:eastAsia="zh-CN"/>
        </w:rPr>
        <w:t>2024</w:t>
      </w:r>
      <w:r>
        <w:rPr>
          <w:rFonts w:hint="eastAsia" w:ascii="仿宋" w:hAnsi="仿宋" w:eastAsia="仿宋" w:cs="仿宋"/>
          <w:sz w:val="32"/>
          <w:szCs w:val="32"/>
          <w:lang w:val="en-US" w:eastAsia="zh-CN"/>
        </w:rPr>
        <w:t>年重点工作：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一、行政安全执法方面。大队在县城中心广场集中组织了“路政宣传月”、“安全生产月”和“宪法宣传日”等宣传活动。据统计，共发放宣传册8000余份，接受群众咨询120余人次，有效增强了公众的法治意识和安全意识。另外，全年共组织了8次执法人员培训及岗位练兵活动。同时，广泛开展安全生产宣传活动，结合“安全生产月”活动要求，以水上交通安全、道路运输安全为重点，开展了一系列安全生产宣传教育活动。活动期间，共组织应急宣传与演练 1次，曝光安全隐患企业6家，有力推动了交通运输行业安全生产形势持续稳定好转。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客运市场治理整顿方面。深入开展安全生产专项整治行动、严厉打击非法网络预约出租汽车违法违规经营行为与非法营运扰乱客运市场秩序行动，一年以来共开展现场检查220余次，查处各类违法违章车辆80余台。开展机动车维修行业治理，对</w:t>
      </w:r>
      <w:r>
        <w:rPr>
          <w:rFonts w:hint="eastAsia" w:ascii="仿宋" w:hAnsi="仿宋" w:eastAsia="仿宋" w:cs="仿宋"/>
          <w:sz w:val="32"/>
          <w:szCs w:val="32"/>
        </w:rPr>
        <w:t>未按规定进行备案的</w:t>
      </w:r>
      <w:r>
        <w:rPr>
          <w:rFonts w:hint="eastAsia" w:ascii="仿宋" w:hAnsi="仿宋" w:eastAsia="仿宋" w:cs="仿宋"/>
          <w:sz w:val="32"/>
          <w:szCs w:val="32"/>
          <w:lang w:eastAsia="zh-CN"/>
        </w:rPr>
        <w:t>、</w:t>
      </w:r>
      <w:r>
        <w:rPr>
          <w:rFonts w:hint="eastAsia" w:ascii="仿宋" w:hAnsi="仿宋" w:eastAsia="仿宋" w:cs="仿宋"/>
          <w:sz w:val="32"/>
          <w:szCs w:val="32"/>
        </w:rPr>
        <w:t>使用假冒伪劣配件维修机动车，承修已报废的机动车或者擅自改装机动车的</w:t>
      </w:r>
      <w:r>
        <w:rPr>
          <w:rFonts w:hint="eastAsia" w:ascii="仿宋" w:hAnsi="仿宋" w:eastAsia="仿宋" w:cs="仿宋"/>
          <w:sz w:val="32"/>
          <w:szCs w:val="32"/>
          <w:lang w:val="en-US" w:eastAsia="zh-CN"/>
        </w:rPr>
        <w:t>等违法经营行进行查处，2024年以来，下发整改20余份，行政处罚10来余次，维修行业总体平稳。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货物运输超限超载治理方面。对辖区内碎石场、河沙场等货运源头单位进行全面摸底调查，到货运源头单位上门宣传60余次；现场检测超限车辆5.5万余台次，受检率100%，超限车辆3500多台，10%以上的有效超限车辆80台次，现场教育120多次，卸载各类货物700余吨，立案100多起，结案98起。现场移交交警处理20起；非现场超限车辆处理1万余台次，在省治超联网平台审核3400多台次，短信告知300多台次，短信教育300多台次，推送交警100余台次，与交警流动联合执法200余次。非现场超限车辆处理150余台次，推送处理案件100多个，非现场执法超限超载率同比明显下降，截止到目前处罚货运企业22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水上运输、路域环境治理方面。对全县24个客运渡口、渡船进行了督导，参与水上联合执法行动2次，共出动人员20人次，出动车辆5台次，发现并整改安全隐患7处，有效预防了水上交通事故的发生。今年以来共立案查处擅自占用公路倾倒垃圾4起，私自挖掘公路1起，擅自增设平面交叉道口4起，动用大型机械拆除公路违法非公路标志大型广告牌3起和小型非公路标志牌及375块，清除乱搭障碍物587起，处罚公路违法建房300余起，确保了公路的交通顺畅，给安全通行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）部门整体支出情况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全年预算执行总收入</w:t>
      </w:r>
      <w:r>
        <w:rPr>
          <w:rFonts w:hint="eastAsia" w:ascii="仿宋_GB2312" w:hAnsi="仿宋" w:eastAsia="仿宋_GB2312"/>
          <w:sz w:val="32"/>
          <w:szCs w:val="32"/>
          <w:lang w:val="en-US" w:eastAsia="zh-CN"/>
        </w:rPr>
        <w:t>2187.5</w:t>
      </w:r>
      <w:r>
        <w:rPr>
          <w:rFonts w:hint="eastAsia" w:ascii="仿宋_GB2312" w:hAnsi="仿宋" w:eastAsia="仿宋_GB2312"/>
          <w:sz w:val="32"/>
          <w:szCs w:val="32"/>
        </w:rPr>
        <w:t>万元，其中一般公共预算财政拨款收入2168.63万元、其他收入18.87万元；全年预算执行总支出</w:t>
      </w:r>
      <w:r>
        <w:rPr>
          <w:rFonts w:hint="eastAsia" w:ascii="仿宋_GB2312" w:hAnsi="仿宋" w:eastAsia="仿宋_GB2312"/>
          <w:sz w:val="32"/>
          <w:szCs w:val="32"/>
          <w:lang w:val="en-US" w:eastAsia="zh-CN"/>
        </w:rPr>
        <w:t>2187.5</w:t>
      </w:r>
      <w:r>
        <w:rPr>
          <w:rFonts w:hint="eastAsia" w:ascii="仿宋_GB2312" w:hAnsi="仿宋" w:eastAsia="仿宋_GB2312"/>
          <w:sz w:val="32"/>
          <w:szCs w:val="32"/>
        </w:rPr>
        <w:t>万元，其中一般公共预算财政拨款支出2168.63万元、其他资金支出18.87万元。</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本年度预算收支平衡。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keepNext w:val="0"/>
        <w:keepLines w:val="0"/>
        <w:pageBreakBefore w:val="0"/>
        <w:widowControl/>
        <w:kinsoku/>
        <w:wordWrap/>
        <w:overflowPunct/>
        <w:topLinePunct w:val="0"/>
        <w:autoSpaceDE/>
        <w:autoSpaceDN/>
        <w:bidi w:val="0"/>
        <w:spacing w:line="560" w:lineRule="exact"/>
        <w:ind w:firstLine="64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年度基本支出</w:t>
      </w:r>
      <w:r>
        <w:rPr>
          <w:rFonts w:hint="eastAsia" w:ascii="仿宋_GB2312" w:hAnsi="仿宋" w:eastAsia="仿宋_GB2312"/>
          <w:color w:val="000000" w:themeColor="text1"/>
          <w:sz w:val="32"/>
          <w:szCs w:val="32"/>
          <w14:textFill>
            <w14:solidFill>
              <w14:schemeClr w14:val="tx1"/>
            </w14:solidFill>
          </w14:textFill>
        </w:rPr>
        <w:t>1925.06万元</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其中人员经费</w:t>
      </w:r>
      <w:r>
        <w:rPr>
          <w:rFonts w:hint="eastAsia" w:ascii="仿宋_GB2312" w:hAnsi="仿宋" w:eastAsia="仿宋_GB2312"/>
          <w:color w:val="000000" w:themeColor="text1"/>
          <w:sz w:val="32"/>
          <w:szCs w:val="32"/>
          <w:lang w:val="en-US" w:eastAsia="zh-CN"/>
          <w14:textFill>
            <w14:solidFill>
              <w14:schemeClr w14:val="tx1"/>
            </w14:solidFill>
          </w14:textFill>
        </w:rPr>
        <w:t>1697.74</w:t>
      </w:r>
      <w:r>
        <w:rPr>
          <w:rFonts w:hint="eastAsia" w:ascii="仿宋" w:hAnsi="仿宋" w:eastAsia="仿宋" w:cs="仿宋"/>
          <w:color w:val="000000" w:themeColor="text1"/>
          <w:sz w:val="30"/>
          <w:szCs w:val="30"/>
          <w:lang w:val="en-US" w:eastAsia="zh-CN"/>
          <w14:textFill>
            <w14:solidFill>
              <w14:schemeClr w14:val="tx1"/>
            </w14:solidFill>
          </w14:textFill>
        </w:rPr>
        <w:t>万元，公用经费227.32万元，</w:t>
      </w:r>
      <w:r>
        <w:rPr>
          <w:rFonts w:hint="eastAsia" w:ascii="仿宋" w:hAnsi="仿宋" w:eastAsia="仿宋" w:cs="仿宋"/>
          <w:color w:val="000000" w:themeColor="text1"/>
          <w:sz w:val="30"/>
          <w:szCs w:val="30"/>
          <w14:textFill>
            <w14:solidFill>
              <w14:schemeClr w14:val="tx1"/>
            </w14:solidFill>
          </w14:textFill>
        </w:rPr>
        <w:t>用于保障单位机构正常运转、完成日常工作任务而发生的各项支出，包括用于基本工资、津贴补贴等人员经费以及办公费、印刷费、水电费及办公设备购置等日常公用经费。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项目支出</w:t>
      </w:r>
      <w:r>
        <w:rPr>
          <w:rFonts w:hint="eastAsia" w:ascii="仿宋" w:hAnsi="仿宋" w:eastAsia="仿宋" w:cs="仿宋"/>
          <w:color w:val="000000" w:themeColor="text1"/>
          <w:sz w:val="32"/>
          <w:szCs w:val="32"/>
          <w14:textFill>
            <w14:solidFill>
              <w14:schemeClr w14:val="tx1"/>
            </w14:solidFill>
          </w14:textFill>
        </w:rPr>
        <w:t>情况</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napToGrid w:val="0"/>
          <w:color w:val="FF0000"/>
          <w:spacing w:val="0"/>
          <w:kern w:val="0"/>
          <w:position w:val="0"/>
          <w:sz w:val="32"/>
          <w:szCs w:val="32"/>
          <w:lang w:val="en-US" w:eastAsia="zh-CN" w:bidi="ar-SA"/>
        </w:rPr>
      </w:pPr>
      <w:r>
        <w:rPr>
          <w:rFonts w:hint="eastAsia"/>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年度</w:t>
      </w:r>
      <w:r>
        <w:rPr>
          <w:rFonts w:hint="eastAsia" w:ascii="仿宋" w:hAnsi="仿宋" w:eastAsia="仿宋" w:cs="仿宋"/>
          <w:color w:val="000000" w:themeColor="text1"/>
          <w:sz w:val="30"/>
          <w:szCs w:val="30"/>
          <w:lang w:eastAsia="zh-CN"/>
          <w14:textFill>
            <w14:solidFill>
              <w14:schemeClr w14:val="tx1"/>
            </w14:solidFill>
          </w14:textFill>
        </w:rPr>
        <w:t>项目</w:t>
      </w:r>
      <w:r>
        <w:rPr>
          <w:rFonts w:hint="eastAsia" w:ascii="仿宋" w:hAnsi="仿宋" w:eastAsia="仿宋" w:cs="仿宋"/>
          <w:color w:val="000000" w:themeColor="text1"/>
          <w:sz w:val="30"/>
          <w:szCs w:val="30"/>
          <w14:textFill>
            <w14:solidFill>
              <w14:schemeClr w14:val="tx1"/>
            </w14:solidFill>
          </w14:textFill>
        </w:rPr>
        <w:t>支出</w:t>
      </w:r>
      <w:r>
        <w:rPr>
          <w:rFonts w:hint="eastAsia" w:ascii="仿宋" w:hAnsi="仿宋" w:eastAsia="仿宋" w:cs="仿宋"/>
          <w:color w:val="000000" w:themeColor="text1"/>
          <w:sz w:val="32"/>
          <w:szCs w:val="32"/>
          <w:lang w:val="en-US" w:eastAsia="zh-CN"/>
          <w14:textFill>
            <w14:solidFill>
              <w14:schemeClr w14:val="tx1"/>
            </w14:solidFill>
          </w14:textFill>
        </w:rPr>
        <w:t>262.44</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lang w:val="en-US" w:eastAsia="zh-CN"/>
          <w14:textFill>
            <w14:solidFill>
              <w14:schemeClr w14:val="tx1"/>
            </w14:solidFill>
          </w14:textFill>
        </w:rPr>
        <w:t>主要</w:t>
      </w:r>
      <w:r>
        <w:rPr>
          <w:rFonts w:hint="eastAsia" w:ascii="仿宋" w:hAnsi="仿宋" w:eastAsia="仿宋" w:cs="仿宋"/>
          <w:color w:val="000000" w:themeColor="text1"/>
          <w:spacing w:val="6"/>
          <w:kern w:val="0"/>
          <w:sz w:val="29"/>
          <w:szCs w:val="29"/>
          <w14:textFill>
            <w14:solidFill>
              <w14:schemeClr w14:val="tx1"/>
            </w14:solidFill>
          </w14:textFill>
        </w:rPr>
        <w:t>用于加强公路、铁路、水路巡查和违法查处，落实治超治限、排查源头企业、安全隐患整改、清理违法设置非公路标志、拆除在公路用地内乱搭乱建、清除占用公路乱堆</w:t>
      </w:r>
      <w:r>
        <w:rPr>
          <w:rFonts w:hint="eastAsia" w:ascii="仿宋" w:hAnsi="仿宋" w:eastAsia="仿宋" w:cs="仿宋"/>
          <w:spacing w:val="6"/>
          <w:kern w:val="0"/>
          <w:sz w:val="29"/>
          <w:szCs w:val="29"/>
        </w:rPr>
        <w:t>放建材和渣土、劝导规范公路用地等工作形成经费支出。全力打造通畅、安全、有序的路域环境</w:t>
      </w:r>
      <w:r>
        <w:rPr>
          <w:rFonts w:hint="eastAsia" w:ascii="仿宋_GB2312" w:hAnsi="仿宋_GB2312" w:eastAsia="仿宋_GB2312" w:cs="仿宋_GB2312"/>
          <w:snapToGrid w:val="0"/>
          <w:color w:val="000000"/>
          <w:spacing w:val="0"/>
          <w:kern w:val="0"/>
          <w:position w:val="0"/>
          <w:sz w:val="32"/>
          <w:szCs w:val="32"/>
          <w:lang w:val="en-US" w:eastAsia="zh-CN" w:bidi="ar-SA"/>
        </w:rPr>
        <w:t>，保障全县公路和水路运输畅通。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hint="eastAsia" w:ascii="仿宋" w:hAnsi="仿宋" w:eastAsia="仿宋" w:cs="仿宋"/>
          <w:sz w:val="32"/>
          <w:szCs w:val="32"/>
        </w:rPr>
        <w:t>因公出国（境）费用；</w:t>
      </w:r>
    </w:p>
    <w:p>
      <w:pPr>
        <w:pStyle w:val="1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0.45万元，</w:t>
      </w:r>
      <w:r>
        <w:rPr>
          <w:rFonts w:hint="eastAsia" w:ascii="仿宋" w:hAnsi="仿宋" w:eastAsia="仿宋"/>
          <w:sz w:val="30"/>
          <w:szCs w:val="30"/>
        </w:rPr>
        <w:t>全年共接待来访团组6批次、来宾37人次</w:t>
      </w:r>
      <w:r>
        <w:rPr>
          <w:rFonts w:hint="eastAsia" w:ascii="仿宋" w:hAnsi="仿宋" w:eastAsia="仿宋"/>
          <w:color w:val="000000"/>
          <w:sz w:val="30"/>
          <w:szCs w:val="30"/>
        </w:rPr>
        <w:t>，主要是上级工作检查和其他县业务交流发生的接待支出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黑体"/>
          <w:color w:val="000000"/>
          <w:kern w:val="0"/>
          <w:sz w:val="30"/>
          <w:szCs w:val="30"/>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黑体"/>
          <w:color w:val="000000"/>
          <w:kern w:val="0"/>
          <w:sz w:val="30"/>
          <w:szCs w:val="30"/>
        </w:rPr>
        <w:t>公务用车购置费及运行维护费支出决算为60.3万元，其中：公务用车购置费9.72万元，</w:t>
      </w:r>
      <w:r>
        <w:rPr>
          <w:rFonts w:hint="eastAsia" w:ascii="仿宋" w:hAnsi="仿宋" w:eastAsia="仿宋" w:cs="仿宋_GB2312"/>
          <w:sz w:val="32"/>
          <w:lang w:bidi="ar"/>
        </w:rPr>
        <w:t>为预付公务用车购置费</w:t>
      </w:r>
      <w:r>
        <w:rPr>
          <w:rFonts w:hint="eastAsia" w:ascii="仿宋" w:hAnsi="仿宋" w:eastAsia="仿宋" w:cs="黑体"/>
          <w:color w:val="000000"/>
          <w:kern w:val="0"/>
          <w:sz w:val="30"/>
          <w:szCs w:val="30"/>
        </w:rPr>
        <w:t>；公务用车运行维护费50.58万元，截止2024年12月31日，我单位开支财政拨款的公务用车保有量为18辆。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四、国有资本经营预算支出情况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五、社会保险基金预算支出情况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黑体"/>
          <w:color w:val="000000"/>
          <w:kern w:val="0"/>
          <w:sz w:val="30"/>
          <w:szCs w:val="30"/>
          <w:lang w:val="en-US" w:eastAsia="zh-CN"/>
        </w:rPr>
      </w:pPr>
      <w:r>
        <w:rPr>
          <w:rFonts w:hint="eastAsia" w:ascii="仿宋" w:hAnsi="仿宋" w:eastAsia="仿宋" w:cs="黑体"/>
          <w:color w:val="000000"/>
          <w:kern w:val="0"/>
          <w:sz w:val="30"/>
          <w:szCs w:val="30"/>
        </w:rPr>
        <w:t>经过全年工作，本单位支出绩效目标完成情况良好，有效完成本年度交通</w:t>
      </w:r>
      <w:r>
        <w:rPr>
          <w:rFonts w:hint="eastAsia" w:ascii="仿宋" w:hAnsi="仿宋" w:eastAsia="仿宋" w:cs="黑体"/>
          <w:color w:val="000000"/>
          <w:kern w:val="0"/>
          <w:sz w:val="30"/>
          <w:szCs w:val="30"/>
          <w:lang w:val="en-US" w:eastAsia="zh-CN"/>
        </w:rPr>
        <w:t>运输行业</w:t>
      </w:r>
      <w:r>
        <w:rPr>
          <w:rFonts w:hint="eastAsia" w:ascii="仿宋" w:hAnsi="仿宋" w:eastAsia="仿宋" w:cs="黑体"/>
          <w:color w:val="000000"/>
          <w:kern w:val="0"/>
          <w:sz w:val="30"/>
          <w:szCs w:val="30"/>
        </w:rPr>
        <w:t>管理工作，为社会经济发展服务，促进人民安全平安出行，增强</w:t>
      </w:r>
      <w:r>
        <w:rPr>
          <w:rFonts w:hint="eastAsia" w:ascii="仿宋" w:hAnsi="仿宋" w:eastAsia="仿宋" w:cs="黑体"/>
          <w:color w:val="000000"/>
          <w:kern w:val="0"/>
          <w:sz w:val="30"/>
          <w:szCs w:val="30"/>
          <w:lang w:val="en-US" w:eastAsia="zh-CN"/>
        </w:rPr>
        <w:t>了</w:t>
      </w:r>
      <w:r>
        <w:rPr>
          <w:rFonts w:hint="eastAsia" w:ascii="仿宋" w:hAnsi="仿宋" w:eastAsia="仿宋" w:cs="黑体"/>
          <w:color w:val="000000"/>
          <w:kern w:val="0"/>
          <w:sz w:val="30"/>
          <w:szCs w:val="30"/>
        </w:rPr>
        <w:t>人民群众的幸福感、获得感，保障了全县公路和水路运输畅通。 本部门所有支出全部纳入部门绩效管理。本报</w:t>
      </w:r>
      <w:r>
        <w:rPr>
          <w:rFonts w:hint="eastAsia" w:ascii="仿宋" w:hAnsi="仿宋" w:eastAsia="仿宋" w:cs="黑体"/>
          <w:color w:val="000000"/>
          <w:kern w:val="0"/>
          <w:sz w:val="30"/>
          <w:szCs w:val="30"/>
          <w:lang w:val="en-US" w:eastAsia="zh-CN"/>
        </w:rPr>
        <w:t>告</w:t>
      </w:r>
      <w:r>
        <w:rPr>
          <w:rFonts w:hint="eastAsia" w:ascii="仿宋" w:hAnsi="仿宋" w:eastAsia="仿宋" w:cs="黑体"/>
          <w:color w:val="000000"/>
          <w:kern w:val="0"/>
          <w:sz w:val="30"/>
          <w:szCs w:val="30"/>
        </w:rPr>
        <w:t>依据本单位登记完整、核对无误的账簿记录和其他有关会计核算资料编制，账证相符、账实相符、账表相符、表表相符，真实、准确、完整地反映了本单位财务结果和财务状况。</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630" w:leftChars="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、存在的问题</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（一）运行经费缺口大，人头经费预算相对较低，工作推进无法达到预期目标。</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（二）本单位缺少专业的财务工作人员，对相关制度、政策、规定、流程不是很专业。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八、改进措施及有关建议</w:t>
      </w:r>
    </w:p>
    <w:p>
      <w:pPr>
        <w:keepNext w:val="0"/>
        <w:keepLines w:val="0"/>
        <w:pageBreakBefore w:val="0"/>
        <w:wordWrap/>
        <w:overflowPunct/>
        <w:topLinePunct w:val="0"/>
        <w:bidi w:val="0"/>
        <w:spacing w:line="560" w:lineRule="exact"/>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加大经费支持力度，增派引进财务专业人员，加强学习。</w:t>
      </w:r>
    </w:p>
    <w:p>
      <w:pPr>
        <w:pStyle w:val="9"/>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报告包括以下附件：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pPr>
        <w:spacing w:line="560" w:lineRule="exact"/>
        <w:rPr>
          <w:rFonts w:hint="eastAsia" w:ascii="仿宋" w:hAnsi="仿宋" w:eastAsia="仿宋" w:cs="仿宋"/>
          <w:kern w:val="0"/>
          <w:sz w:val="32"/>
          <w:szCs w:val="32"/>
        </w:rPr>
      </w:pPr>
    </w:p>
    <w:p>
      <w:pPr>
        <w:spacing w:line="560" w:lineRule="exact"/>
        <w:rPr>
          <w:rFonts w:hint="eastAsia" w:ascii="仿宋" w:hAnsi="仿宋" w:eastAsia="仿宋" w:cs="仿宋"/>
          <w:kern w:val="0"/>
          <w:sz w:val="32"/>
          <w:szCs w:val="32"/>
        </w:rPr>
      </w:pPr>
    </w:p>
    <w:p>
      <w:pPr>
        <w:pStyle w:val="9"/>
        <w:ind w:left="0" w:leftChars="0" w:firstLine="0" w:firstLineChars="0"/>
        <w:rPr>
          <w:rFonts w:hint="eastAsia" w:ascii="仿宋" w:hAnsi="仿宋" w:eastAsia="仿宋" w:cs="仿宋"/>
          <w:kern w:val="0"/>
          <w:sz w:val="32"/>
          <w:szCs w:val="32"/>
        </w:rPr>
      </w:pPr>
    </w:p>
    <w:p>
      <w:pPr>
        <w:spacing w:line="560" w:lineRule="exact"/>
        <w:rPr>
          <w:rFonts w:hint="eastAsia" w:ascii="仿宋" w:hAnsi="仿宋" w:eastAsia="仿宋" w:cs="仿宋"/>
          <w:kern w:val="0"/>
          <w:sz w:val="32"/>
          <w:szCs w:val="32"/>
        </w:rPr>
      </w:pPr>
    </w:p>
    <w:p>
      <w:pPr>
        <w:spacing w:line="560" w:lineRule="exact"/>
        <w:rPr>
          <w:rFonts w:hint="eastAsia" w:ascii="仿宋" w:hAnsi="仿宋" w:eastAsia="仿宋" w:cs="仿宋"/>
          <w:kern w:val="0"/>
          <w:sz w:val="32"/>
          <w:szCs w:val="32"/>
        </w:rPr>
      </w:pPr>
    </w:p>
    <w:p>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pPr>
        <w:pStyle w:val="9"/>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p>
      <w:pPr>
        <w:pStyle w:val="7"/>
        <w:bidi w:val="0"/>
        <w:jc w:val="right"/>
        <w:rPr>
          <w:rFonts w:hint="eastAsia"/>
          <w:lang w:val="en-US" w:eastAsia="zh-CN"/>
        </w:rPr>
      </w:pPr>
      <w:r>
        <w:rPr>
          <w:rFonts w:hint="eastAsia"/>
          <w:lang w:val="en-US" w:eastAsia="zh-CN"/>
        </w:rPr>
        <w:t>金额单位：万元</w:t>
      </w:r>
    </w:p>
    <w:p>
      <w:pPr>
        <w:pStyle w:val="7"/>
        <w:tabs>
          <w:tab w:val="left" w:pos="320"/>
        </w:tabs>
        <w:bidi w:val="0"/>
        <w:ind w:left="357" w:leftChars="170" w:firstLine="8100" w:firstLineChars="4500"/>
        <w:rPr>
          <w:rFonts w:hint="eastAsia"/>
          <w:lang w:val="en-US" w:eastAsia="zh-CN"/>
        </w:rPr>
      </w:pPr>
      <w:r>
        <w:rPr>
          <w:rFonts w:hint="eastAsia"/>
          <w:lang w:val="en-US" w:eastAsia="zh-CN"/>
        </w:rPr>
        <w:tab/>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5"/>
        <w:gridCol w:w="1290"/>
        <w:gridCol w:w="1872"/>
        <w:gridCol w:w="993"/>
        <w:gridCol w:w="1103"/>
        <w:gridCol w:w="1165"/>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财政供养人员情况</w:t>
            </w:r>
          </w:p>
        </w:tc>
        <w:tc>
          <w:tcPr>
            <w:tcW w:w="1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编制数</w:t>
            </w: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2024年实际在职人数</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119</w:t>
            </w: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136</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经费控制情况(万元)</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一级指标</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二级指标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三级指标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2023年决算数</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2024年预算数</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三公经费</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三公经费</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132.38</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36.83</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1、公务用车购置和维护经费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其中：公车购置</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公车运行维护</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128.72</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31.83</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2、出国经费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3、公务接待</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3.66</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项目支出</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500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1、业务工作经费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500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2、运行维护经费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3、省级专项资金（一个专项一行）</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公用经费</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其中：办公经费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392.18</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水费、电费、差旅费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117.58</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会议费、培训费</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15.37</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政府采购金额</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122.39</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部门基本支出预算调整 </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2089.37</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1925.06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楼堂馆所控制情况(2024年完工项目)</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批复规模 （㎡）</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实际规模（㎡）</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规模控制率</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预算投资（万元）</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实际投资（万元）</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default" w:ascii="等线" w:hAnsi="等线" w:eastAsia="等线" w:cs="等线"/>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厉行节约保障措施</w:t>
            </w:r>
          </w:p>
        </w:tc>
        <w:tc>
          <w:tcPr>
            <w:tcW w:w="42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年度，为避免出现人员多、浪费大的现象，我单位制定详细的规章制度，从源头上严格把控支出，实行采购审批制度，价格进行比较，择优选取商家，同时实行财务汇审的制度，对每项开支进行审核，杜绝乱用、浪费行为。</w:t>
            </w:r>
          </w:p>
        </w:tc>
      </w:tr>
    </w:tbl>
    <w:p>
      <w:pPr>
        <w:pStyle w:val="7"/>
        <w:tabs>
          <w:tab w:val="left" w:pos="320"/>
        </w:tabs>
        <w:bidi w:val="0"/>
        <w:ind w:left="357" w:leftChars="170" w:firstLine="9000" w:firstLineChars="4500"/>
        <w:rPr>
          <w:rFonts w:hint="eastAsia"/>
          <w:lang w:val="en-US" w:eastAsia="zh-CN"/>
        </w:rPr>
      </w:pPr>
      <w:r>
        <w:rPr>
          <w:rFonts w:hint="eastAsia"/>
          <w:sz w:val="20"/>
          <w:szCs w:val="20"/>
          <w:lang w:val="en-US" w:eastAsia="zh-CN"/>
        </w:rPr>
        <w:tab/>
      </w:r>
    </w:p>
    <w:p>
      <w:pPr>
        <w:pStyle w:val="7"/>
        <w:bidi w:val="0"/>
        <w:rPr>
          <w:rFonts w:hint="eastAsia"/>
          <w:lang w:eastAsia="zh-CN"/>
        </w:rPr>
      </w:pPr>
      <w:r>
        <w:rPr>
          <w:rFonts w:hint="eastAsia"/>
          <w:lang w:val="en-US" w:eastAsia="zh-CN"/>
        </w:rPr>
        <w:t xml:space="preserve"> </w:t>
      </w:r>
      <w:r>
        <w:rPr>
          <w:rFonts w:hint="eastAsia"/>
          <w:lang w:eastAsia="zh-CN"/>
        </w:rPr>
        <w:t>说明：“县级专项资金”需要填报基本支出以外的所有县级专项资金情况，“公用经费”填报基本支出中的一般商品和服务支出。</w:t>
      </w:r>
    </w:p>
    <w:p>
      <w:pPr>
        <w:pStyle w:val="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谢祎   联系电话：18175930208   单位负责人签字：</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0"/>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黑体" w:hAnsi="黑体" w:eastAsia="黑体" w:cs="黑体"/>
          <w:sz w:val="32"/>
          <w:szCs w:val="32"/>
        </w:rPr>
      </w:pPr>
    </w:p>
    <w:p>
      <w:pPr>
        <w:pStyle w:val="9"/>
        <w:ind w:left="0" w:leftChars="0" w:firstLine="0" w:firstLineChars="0"/>
        <w:rPr>
          <w:rFonts w:hint="eastAsia" w:ascii="黑体" w:hAnsi="黑体" w:eastAsia="黑体" w:cs="黑体"/>
          <w:sz w:val="32"/>
          <w:szCs w:val="32"/>
        </w:rPr>
      </w:pPr>
    </w:p>
    <w:p>
      <w:pPr>
        <w:rPr>
          <w:rFonts w:hint="eastAsia"/>
        </w:rPr>
      </w:pP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640" w:lineRule="exact"/>
        <w:ind w:firstLine="800"/>
        <w:jc w:val="center"/>
        <w:rPr>
          <w:rFonts w:ascii="Times New Roman" w:hAnsi="Times New Roman" w:eastAsia="宋体" w:cs="Times New Roman"/>
          <w:kern w:val="2"/>
          <w:sz w:val="21"/>
          <w:szCs w:val="24"/>
          <w:lang w:val="en-US" w:eastAsia="zh-CN" w:bidi="ar-SA"/>
        </w:rPr>
      </w:pPr>
      <w:r>
        <w:rPr>
          <w:rFonts w:ascii="方正小标宋简体" w:hAnsi="方正小标宋简体" w:eastAsia="方正小标宋简体" w:cs="方正小标宋简体"/>
          <w:sz w:val="40"/>
          <w:szCs w:val="40"/>
        </w:rPr>
        <w:t>部门整体支出绩效自评表</w:t>
      </w:r>
    </w:p>
    <w:tbl>
      <w:tblPr>
        <w:tblStyle w:val="10"/>
        <w:tblpPr w:leftFromText="180" w:rightFromText="180" w:vertAnchor="text" w:horzAnchor="page" w:tblpXSpec="center" w:tblpY="642"/>
        <w:tblOverlap w:val="never"/>
        <w:tblW w:w="95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912"/>
        <w:gridCol w:w="1285"/>
        <w:gridCol w:w="1157"/>
        <w:gridCol w:w="1080"/>
        <w:gridCol w:w="650"/>
        <w:gridCol w:w="688"/>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年度预算申请(万元)</w:t>
            </w: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年度资金总额</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年初预算数(万元)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全年预算数(万元)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全年执行数(万元)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分值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执行率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2080.2</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2187.5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2187.5</w:t>
            </w:r>
          </w:p>
        </w:tc>
        <w:tc>
          <w:tcPr>
            <w:tcW w:w="65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100.00%</w:t>
            </w:r>
          </w:p>
        </w:tc>
        <w:tc>
          <w:tcPr>
            <w:tcW w:w="154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按收入性质分：</w:t>
            </w:r>
          </w:p>
        </w:tc>
        <w:tc>
          <w:tcPr>
            <w:tcW w:w="28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一般公共预算：</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default" w:ascii="等线" w:hAnsi="等线" w:eastAsia="等线" w:cs="等线"/>
                <w:i w:val="0"/>
                <w:iCs w:val="0"/>
                <w:color w:val="000000"/>
                <w:kern w:val="0"/>
                <w:sz w:val="20"/>
                <w:szCs w:val="20"/>
                <w:u w:val="none"/>
                <w:lang w:val="en-US" w:eastAsia="zh-CN" w:bidi="ar"/>
              </w:rPr>
              <w:t>2168.63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default" w:ascii="等线" w:hAnsi="等线" w:eastAsia="等线" w:cs="等线"/>
                <w:i w:val="0"/>
                <w:iCs w:val="0"/>
                <w:color w:val="000000"/>
                <w:kern w:val="0"/>
                <w:sz w:val="20"/>
                <w:szCs w:val="20"/>
                <w:u w:val="none"/>
                <w:lang w:val="en-US" w:eastAsia="zh-CN" w:bidi="ar"/>
              </w:rPr>
              <w:t>基本支出：</w:t>
            </w:r>
          </w:p>
        </w:tc>
        <w:tc>
          <w:tcPr>
            <w:tcW w:w="2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政府性基金拨款：</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宋体" w:cs="等线"/>
                <w:i w:val="0"/>
                <w:iCs w:val="0"/>
                <w:color w:val="000000"/>
                <w:sz w:val="20"/>
                <w:szCs w:val="20"/>
                <w:u w:val="none"/>
                <w:lang w:val="en-US" w:eastAsia="zh-CN"/>
              </w:rPr>
            </w:pPr>
            <w:r>
              <w:rPr>
                <w:rFonts w:hint="eastAsia" w:ascii="等线" w:hAnsi="等线" w:eastAsia="宋体" w:cs="等线"/>
                <w:i w:val="0"/>
                <w:iCs w:val="0"/>
                <w:color w:val="000000"/>
                <w:sz w:val="20"/>
                <w:szCs w:val="20"/>
                <w:u w:val="none"/>
                <w:lang w:val="en-US" w:eastAsia="zh-CN"/>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项目支出：</w:t>
            </w:r>
          </w:p>
        </w:tc>
        <w:tc>
          <w:tcPr>
            <w:tcW w:w="2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纳入专户管理的非税收入拨款：</w:t>
            </w:r>
          </w:p>
        </w:tc>
        <w:tc>
          <w:tcPr>
            <w:tcW w:w="64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191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其他资金: </w:t>
            </w:r>
          </w:p>
        </w:tc>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18.87</w:t>
            </w:r>
          </w:p>
        </w:tc>
        <w:tc>
          <w:tcPr>
            <w:tcW w:w="28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年度总体目标</w:t>
            </w:r>
          </w:p>
        </w:tc>
        <w:tc>
          <w:tcPr>
            <w:tcW w:w="54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预期目标</w:t>
            </w:r>
          </w:p>
        </w:tc>
        <w:tc>
          <w:tcPr>
            <w:tcW w:w="28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5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1、加强道路运输安全管理，定期掌握分析道路运输安全动态，制定对策。</w:t>
            </w:r>
            <w:r>
              <w:rPr>
                <w:rFonts w:hint="default" w:ascii="等线" w:hAnsi="等线" w:eastAsia="等线" w:cs="等线"/>
                <w:i w:val="0"/>
                <w:iCs w:val="0"/>
                <w:color w:val="000000"/>
                <w:kern w:val="0"/>
                <w:sz w:val="20"/>
                <w:szCs w:val="20"/>
                <w:u w:val="none"/>
                <w:lang w:val="en-US" w:eastAsia="zh-CN" w:bidi="ar"/>
              </w:rPr>
              <w:br w:type="textWrapping"/>
            </w:r>
            <w:r>
              <w:rPr>
                <w:rFonts w:hint="default" w:ascii="等线" w:hAnsi="等线" w:eastAsia="等线" w:cs="等线"/>
                <w:i w:val="0"/>
                <w:iCs w:val="0"/>
                <w:color w:val="000000"/>
                <w:kern w:val="0"/>
                <w:sz w:val="20"/>
                <w:szCs w:val="20"/>
                <w:u w:val="none"/>
                <w:lang w:val="en-US" w:eastAsia="zh-CN" w:bidi="ar"/>
              </w:rPr>
              <w:t>2、加强公路巡逻，及时发现、查处和纠正各类交通违法行为。</w:t>
            </w:r>
            <w:r>
              <w:rPr>
                <w:rFonts w:hint="default" w:ascii="等线" w:hAnsi="等线" w:eastAsia="等线" w:cs="等线"/>
                <w:i w:val="0"/>
                <w:iCs w:val="0"/>
                <w:color w:val="000000"/>
                <w:kern w:val="0"/>
                <w:sz w:val="20"/>
                <w:szCs w:val="20"/>
                <w:u w:val="none"/>
                <w:lang w:val="en-US" w:eastAsia="zh-CN" w:bidi="ar"/>
              </w:rPr>
              <w:br w:type="textWrapping"/>
            </w:r>
            <w:r>
              <w:rPr>
                <w:rFonts w:hint="default" w:ascii="等线" w:hAnsi="等线" w:eastAsia="等线" w:cs="等线"/>
                <w:i w:val="0"/>
                <w:iCs w:val="0"/>
                <w:color w:val="000000"/>
                <w:kern w:val="0"/>
                <w:sz w:val="20"/>
                <w:szCs w:val="20"/>
                <w:u w:val="none"/>
                <w:lang w:val="en-US" w:eastAsia="zh-CN" w:bidi="ar"/>
              </w:rPr>
              <w:t>3、加强公路、水路交通安全宣传，预防安全事故发生。</w:t>
            </w:r>
          </w:p>
        </w:tc>
        <w:tc>
          <w:tcPr>
            <w:tcW w:w="2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1、加强道路运输安全管理，定期掌握分析道路运输安全动态，制定对策。</w:t>
            </w:r>
            <w:r>
              <w:rPr>
                <w:rFonts w:hint="default" w:ascii="等线" w:hAnsi="等线" w:eastAsia="等线" w:cs="等线"/>
                <w:i w:val="0"/>
                <w:iCs w:val="0"/>
                <w:color w:val="000000"/>
                <w:kern w:val="0"/>
                <w:sz w:val="20"/>
                <w:szCs w:val="20"/>
                <w:u w:val="none"/>
                <w:lang w:val="en-US" w:eastAsia="zh-CN" w:bidi="ar"/>
              </w:rPr>
              <w:br w:type="textWrapping"/>
            </w:r>
            <w:r>
              <w:rPr>
                <w:rFonts w:hint="default" w:ascii="等线" w:hAnsi="等线" w:eastAsia="等线" w:cs="等线"/>
                <w:i w:val="0"/>
                <w:iCs w:val="0"/>
                <w:color w:val="000000"/>
                <w:kern w:val="0"/>
                <w:sz w:val="20"/>
                <w:szCs w:val="20"/>
                <w:u w:val="none"/>
                <w:lang w:val="en-US" w:eastAsia="zh-CN" w:bidi="ar"/>
              </w:rPr>
              <w:t>2、加强公路巡逻，及时发现、查处和纠正各类交通违法行为。</w:t>
            </w:r>
            <w:r>
              <w:rPr>
                <w:rFonts w:hint="default" w:ascii="等线" w:hAnsi="等线" w:eastAsia="等线" w:cs="等线"/>
                <w:i w:val="0"/>
                <w:iCs w:val="0"/>
                <w:color w:val="000000"/>
                <w:kern w:val="0"/>
                <w:sz w:val="20"/>
                <w:szCs w:val="20"/>
                <w:u w:val="none"/>
                <w:lang w:val="en-US" w:eastAsia="zh-CN" w:bidi="ar"/>
              </w:rPr>
              <w:br w:type="textWrapping"/>
            </w:r>
            <w:r>
              <w:rPr>
                <w:rFonts w:hint="default" w:ascii="等线" w:hAnsi="等线" w:eastAsia="等线" w:cs="等线"/>
                <w:i w:val="0"/>
                <w:iCs w:val="0"/>
                <w:color w:val="000000"/>
                <w:kern w:val="0"/>
                <w:sz w:val="20"/>
                <w:szCs w:val="20"/>
                <w:u w:val="none"/>
                <w:lang w:val="en-US" w:eastAsia="zh-CN" w:bidi="ar"/>
              </w:rPr>
              <w:t>3、加强公路、水路交通安全宣传，预防安全事故发生。                                   4、以上预期完成的指标超额完成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一级指标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二级指标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三级指标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实际完成值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分值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得分</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数量指标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水路检查次数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数量指标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客运市场检查次数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数量指标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货运市场检查次数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数量指标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公路路域检查次数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质量指标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考核合格率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质量指标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财政供养人员控制率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质量指标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“三公经费”控制率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产出指标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时效指标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重点工作完成时间</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2024年12月31日前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效益指标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社会效益指标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营造良好的交通运输秩序</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营造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效益指标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社会效益指标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保障人民出行通畅便捷</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99%</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满意度指标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服务对象满意度指标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群众满</w:t>
            </w:r>
            <w:bookmarkStart w:id="0" w:name="_GoBack"/>
            <w:bookmarkEnd w:id="0"/>
            <w:r>
              <w:rPr>
                <w:rFonts w:hint="default" w:ascii="思源黑体" w:hAnsi="思源黑体" w:eastAsia="思源黑体" w:cs="思源黑体"/>
                <w:i w:val="0"/>
                <w:iCs w:val="0"/>
                <w:color w:val="000000"/>
                <w:kern w:val="0"/>
                <w:sz w:val="20"/>
                <w:szCs w:val="20"/>
                <w:u w:val="none"/>
                <w:lang w:val="en-US" w:eastAsia="zh-CN" w:bidi="ar"/>
              </w:rPr>
              <w:t>意度</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4.75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力争进一步加强各</w:t>
            </w:r>
            <w:r>
              <w:rPr>
                <w:rFonts w:hint="default" w:ascii="等线" w:hAnsi="等线" w:eastAsia="等线" w:cs="等线"/>
                <w:i w:val="0"/>
                <w:iCs w:val="0"/>
                <w:color w:val="000000"/>
                <w:kern w:val="0"/>
                <w:sz w:val="20"/>
                <w:szCs w:val="20"/>
                <w:u w:val="none"/>
                <w:lang w:val="en-US" w:eastAsia="zh-CN" w:bidi="ar"/>
              </w:rPr>
              <w:br w:type="textWrapping"/>
            </w:r>
            <w:r>
              <w:rPr>
                <w:rFonts w:hint="default" w:ascii="等线" w:hAnsi="等线" w:eastAsia="等线" w:cs="等线"/>
                <w:i w:val="0"/>
                <w:iCs w:val="0"/>
                <w:color w:val="000000"/>
                <w:kern w:val="0"/>
                <w:sz w:val="20"/>
                <w:szCs w:val="20"/>
                <w:u w:val="none"/>
                <w:lang w:val="en-US" w:eastAsia="zh-CN" w:bidi="ar"/>
              </w:rPr>
              <w:t>项工作，提升群众满意度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成本指标</w:t>
            </w:r>
          </w:p>
        </w:tc>
        <w:tc>
          <w:tcPr>
            <w:tcW w:w="191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经济成本指标</w:t>
            </w:r>
          </w:p>
        </w:tc>
        <w:tc>
          <w:tcPr>
            <w:tcW w:w="12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部门预算支出金额</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思源黑体" w:hAnsi="思源黑体" w:eastAsia="思源黑体" w:cs="思源黑体"/>
                <w:i w:val="0"/>
                <w:iCs w:val="0"/>
                <w:color w:val="000000"/>
                <w:kern w:val="0"/>
                <w:sz w:val="20"/>
                <w:szCs w:val="20"/>
                <w:u w:val="none"/>
                <w:lang w:val="en-US" w:eastAsia="zh-CN" w:bidi="ar"/>
              </w:rPr>
              <w:t>1925.06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等线" w:hAnsi="等线" w:eastAsia="等线" w:cs="等线"/>
                <w:i w:val="0"/>
                <w:iCs w:val="0"/>
                <w:color w:val="000000"/>
                <w:sz w:val="20"/>
                <w:szCs w:val="20"/>
                <w:u w:val="none"/>
              </w:rPr>
            </w:pPr>
          </w:p>
        </w:tc>
      </w:tr>
    </w:tbl>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0"/>
          <w:sz w:val="24"/>
          <w:szCs w:val="24"/>
          <w:lang w:eastAsia="zh-CN"/>
        </w:rPr>
      </w:pP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kern w:val="0"/>
          <w:sz w:val="24"/>
          <w:szCs w:val="24"/>
          <w:lang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谢祎   联系电话：18175930208  单位负责人签字：</w:t>
      </w:r>
    </w:p>
    <w:sectPr>
      <w:headerReference r:id="rId3" w:type="default"/>
      <w:footerReference r:id="rId4" w:type="default"/>
      <w:footerReference r:id="rId5" w:type="even"/>
      <w:pgSz w:w="11905" w:h="16837"/>
      <w:pgMar w:top="1134" w:right="1689" w:bottom="850" w:left="1689" w:header="720" w:footer="737" w:gutter="0"/>
      <w:pgNumType w:fmt="numberInDash" w:start="1"/>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兰亭黑_GBK">
    <w:altName w:val="方正黑体_GBK"/>
    <w:panose1 w:val="02000000000000000000"/>
    <w:charset w:val="00"/>
    <w:family w:val="script"/>
    <w:pitch w:val="default"/>
    <w:sig w:usb0="00000000" w:usb1="00000000" w:usb2="0008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思源黑体">
    <w:altName w:val="方正黑体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7221D"/>
    <w:multiLevelType w:val="singleLevel"/>
    <w:tmpl w:val="3EC722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MDZjOWVkMWFlNjYwOWZiMDkwNTAzZWZhMDNkOTQ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3A013D6"/>
    <w:rsid w:val="03AF929E"/>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CF50E9E"/>
    <w:rsid w:val="0D766D04"/>
    <w:rsid w:val="0DD74424"/>
    <w:rsid w:val="0E8F2773"/>
    <w:rsid w:val="0F31382A"/>
    <w:rsid w:val="0FF71F52"/>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9FFDB0"/>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4F61C7"/>
    <w:rsid w:val="1A5605E9"/>
    <w:rsid w:val="1B326960"/>
    <w:rsid w:val="1B5E90EC"/>
    <w:rsid w:val="1B8B42C2"/>
    <w:rsid w:val="1BCD6688"/>
    <w:rsid w:val="1BD417C5"/>
    <w:rsid w:val="1CB05D8E"/>
    <w:rsid w:val="1CCF110C"/>
    <w:rsid w:val="1CF10AE6"/>
    <w:rsid w:val="1D743260"/>
    <w:rsid w:val="1D9456B0"/>
    <w:rsid w:val="1DEB1048"/>
    <w:rsid w:val="1E0F4D36"/>
    <w:rsid w:val="1E164317"/>
    <w:rsid w:val="1EDD568A"/>
    <w:rsid w:val="1F3D3B25"/>
    <w:rsid w:val="1FA31533"/>
    <w:rsid w:val="1FDB75C6"/>
    <w:rsid w:val="1FEE8203"/>
    <w:rsid w:val="1FFFB92C"/>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7DF8D9D"/>
    <w:rsid w:val="281D135F"/>
    <w:rsid w:val="28377363"/>
    <w:rsid w:val="28BF4190"/>
    <w:rsid w:val="28C4406E"/>
    <w:rsid w:val="28C878C3"/>
    <w:rsid w:val="29037B8D"/>
    <w:rsid w:val="2A5341FD"/>
    <w:rsid w:val="2A706BB3"/>
    <w:rsid w:val="2A7C719C"/>
    <w:rsid w:val="2A974647"/>
    <w:rsid w:val="2B5446D0"/>
    <w:rsid w:val="2B563FA5"/>
    <w:rsid w:val="2B591CE7"/>
    <w:rsid w:val="2B5F8CA9"/>
    <w:rsid w:val="2B7679E1"/>
    <w:rsid w:val="2B7E52A9"/>
    <w:rsid w:val="2B926A7E"/>
    <w:rsid w:val="2B942D1F"/>
    <w:rsid w:val="2C1125C1"/>
    <w:rsid w:val="2C2B5641"/>
    <w:rsid w:val="2C8F2F53"/>
    <w:rsid w:val="2CA10478"/>
    <w:rsid w:val="2CAE79CE"/>
    <w:rsid w:val="2CB6067E"/>
    <w:rsid w:val="2CBB8679"/>
    <w:rsid w:val="2CC66F08"/>
    <w:rsid w:val="2CCA094F"/>
    <w:rsid w:val="2CFF8645"/>
    <w:rsid w:val="2D610085"/>
    <w:rsid w:val="2DBF1C54"/>
    <w:rsid w:val="2DF5FB97"/>
    <w:rsid w:val="2E1B3283"/>
    <w:rsid w:val="2E2B5E45"/>
    <w:rsid w:val="2E515D05"/>
    <w:rsid w:val="2E5F4F93"/>
    <w:rsid w:val="2E676D4E"/>
    <w:rsid w:val="2F779797"/>
    <w:rsid w:val="2F9C21A2"/>
    <w:rsid w:val="2FA7F28F"/>
    <w:rsid w:val="2FC02FA6"/>
    <w:rsid w:val="2FD22068"/>
    <w:rsid w:val="2FDC6A42"/>
    <w:rsid w:val="2FE57F9B"/>
    <w:rsid w:val="2FF4311D"/>
    <w:rsid w:val="2FF745A3"/>
    <w:rsid w:val="2FFDE13D"/>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5FD1FDF"/>
    <w:rsid w:val="372907BF"/>
    <w:rsid w:val="373F63AD"/>
    <w:rsid w:val="376A3C4C"/>
    <w:rsid w:val="377D6D5D"/>
    <w:rsid w:val="37AF5FA3"/>
    <w:rsid w:val="37B50268"/>
    <w:rsid w:val="37BF565F"/>
    <w:rsid w:val="37BFC952"/>
    <w:rsid w:val="37CD55EE"/>
    <w:rsid w:val="37D270A9"/>
    <w:rsid w:val="38354BCF"/>
    <w:rsid w:val="38761300"/>
    <w:rsid w:val="38D330D8"/>
    <w:rsid w:val="38E452E6"/>
    <w:rsid w:val="38F90665"/>
    <w:rsid w:val="38FC7F68"/>
    <w:rsid w:val="391E32EE"/>
    <w:rsid w:val="39649B30"/>
    <w:rsid w:val="39C175C6"/>
    <w:rsid w:val="3A754CC9"/>
    <w:rsid w:val="3A771FCA"/>
    <w:rsid w:val="3B082DE1"/>
    <w:rsid w:val="3B4A51A8"/>
    <w:rsid w:val="3B563B4D"/>
    <w:rsid w:val="3BDC6748"/>
    <w:rsid w:val="3BEA370A"/>
    <w:rsid w:val="3BFF0025"/>
    <w:rsid w:val="3C6B3628"/>
    <w:rsid w:val="3CFE414F"/>
    <w:rsid w:val="3D6D5680"/>
    <w:rsid w:val="3D9F0896"/>
    <w:rsid w:val="3DB688FB"/>
    <w:rsid w:val="3DCE3E6E"/>
    <w:rsid w:val="3DFE0BF8"/>
    <w:rsid w:val="3E030FFE"/>
    <w:rsid w:val="3E3A69A0"/>
    <w:rsid w:val="3E75FE0C"/>
    <w:rsid w:val="3EAD617A"/>
    <w:rsid w:val="3ECD3124"/>
    <w:rsid w:val="3ED43706"/>
    <w:rsid w:val="3EE61364"/>
    <w:rsid w:val="3EF115E1"/>
    <w:rsid w:val="3EF142B8"/>
    <w:rsid w:val="3F3E3276"/>
    <w:rsid w:val="3F5017C4"/>
    <w:rsid w:val="3F520ACF"/>
    <w:rsid w:val="3F630D9D"/>
    <w:rsid w:val="3F7E3E24"/>
    <w:rsid w:val="3F830C89"/>
    <w:rsid w:val="3F966C0E"/>
    <w:rsid w:val="3F9A003D"/>
    <w:rsid w:val="3FBF47EA"/>
    <w:rsid w:val="3FDE3447"/>
    <w:rsid w:val="3FDF6110"/>
    <w:rsid w:val="3FEA0343"/>
    <w:rsid w:val="3FED3DE7"/>
    <w:rsid w:val="3FF480FA"/>
    <w:rsid w:val="3FFB8B86"/>
    <w:rsid w:val="3FFF8129"/>
    <w:rsid w:val="40363F4D"/>
    <w:rsid w:val="4044666A"/>
    <w:rsid w:val="40550877"/>
    <w:rsid w:val="409A272E"/>
    <w:rsid w:val="413B181B"/>
    <w:rsid w:val="418307B3"/>
    <w:rsid w:val="41A25D3E"/>
    <w:rsid w:val="41CC2DBB"/>
    <w:rsid w:val="42A25018"/>
    <w:rsid w:val="42E80618"/>
    <w:rsid w:val="42E867DB"/>
    <w:rsid w:val="43196A3C"/>
    <w:rsid w:val="434A21E9"/>
    <w:rsid w:val="435B61A4"/>
    <w:rsid w:val="43925E19"/>
    <w:rsid w:val="43DA6B8F"/>
    <w:rsid w:val="44A818BD"/>
    <w:rsid w:val="46222FA9"/>
    <w:rsid w:val="46A2058E"/>
    <w:rsid w:val="46D52711"/>
    <w:rsid w:val="47215957"/>
    <w:rsid w:val="474927B8"/>
    <w:rsid w:val="475F4422"/>
    <w:rsid w:val="47743CD8"/>
    <w:rsid w:val="4786135E"/>
    <w:rsid w:val="47FDBE4F"/>
    <w:rsid w:val="4874505C"/>
    <w:rsid w:val="488F069E"/>
    <w:rsid w:val="48A56114"/>
    <w:rsid w:val="48FFE728"/>
    <w:rsid w:val="49136AFE"/>
    <w:rsid w:val="49201968"/>
    <w:rsid w:val="49C3D57E"/>
    <w:rsid w:val="49DB003F"/>
    <w:rsid w:val="49F04DE4"/>
    <w:rsid w:val="49F977A4"/>
    <w:rsid w:val="4A0B1FA6"/>
    <w:rsid w:val="4ADB406F"/>
    <w:rsid w:val="4B6814D6"/>
    <w:rsid w:val="4BB905DA"/>
    <w:rsid w:val="4BC468B1"/>
    <w:rsid w:val="4BCF4956"/>
    <w:rsid w:val="4C02288C"/>
    <w:rsid w:val="4C9E5354"/>
    <w:rsid w:val="4D762D9F"/>
    <w:rsid w:val="4DE4323A"/>
    <w:rsid w:val="4E0B709E"/>
    <w:rsid w:val="4E2A5D47"/>
    <w:rsid w:val="4E7E368F"/>
    <w:rsid w:val="4EDF237F"/>
    <w:rsid w:val="4EFDE5E9"/>
    <w:rsid w:val="4EFFE41C"/>
    <w:rsid w:val="4F3B1723"/>
    <w:rsid w:val="4F702FD7"/>
    <w:rsid w:val="4F7A3E56"/>
    <w:rsid w:val="4F7F0BBD"/>
    <w:rsid w:val="4F8627FB"/>
    <w:rsid w:val="4FA462B3"/>
    <w:rsid w:val="4FB1BF8D"/>
    <w:rsid w:val="4FE6773D"/>
    <w:rsid w:val="4FFF4815"/>
    <w:rsid w:val="4FFF9C60"/>
    <w:rsid w:val="4FFFE68E"/>
    <w:rsid w:val="50192406"/>
    <w:rsid w:val="5039786D"/>
    <w:rsid w:val="5057A927"/>
    <w:rsid w:val="506348EA"/>
    <w:rsid w:val="507028FD"/>
    <w:rsid w:val="507C62DD"/>
    <w:rsid w:val="508D1967"/>
    <w:rsid w:val="50B20CEB"/>
    <w:rsid w:val="50E517A3"/>
    <w:rsid w:val="5167040A"/>
    <w:rsid w:val="521E54EC"/>
    <w:rsid w:val="522E2CD6"/>
    <w:rsid w:val="527E3C5D"/>
    <w:rsid w:val="537F371B"/>
    <w:rsid w:val="53EF036E"/>
    <w:rsid w:val="543B45CF"/>
    <w:rsid w:val="545D5AF4"/>
    <w:rsid w:val="547370C6"/>
    <w:rsid w:val="54CF07A0"/>
    <w:rsid w:val="55164621"/>
    <w:rsid w:val="552F2E36"/>
    <w:rsid w:val="558D41B7"/>
    <w:rsid w:val="55FE57CA"/>
    <w:rsid w:val="56231F37"/>
    <w:rsid w:val="562B40FC"/>
    <w:rsid w:val="563C6D66"/>
    <w:rsid w:val="565C4B5A"/>
    <w:rsid w:val="57034731"/>
    <w:rsid w:val="5773B3CA"/>
    <w:rsid w:val="577D8FE5"/>
    <w:rsid w:val="578E37A1"/>
    <w:rsid w:val="579D2DD8"/>
    <w:rsid w:val="57DB3900"/>
    <w:rsid w:val="58C76ABA"/>
    <w:rsid w:val="58E10AA2"/>
    <w:rsid w:val="58FEE5D4"/>
    <w:rsid w:val="592B7F6F"/>
    <w:rsid w:val="5957846C"/>
    <w:rsid w:val="59941FB8"/>
    <w:rsid w:val="59B7FD6A"/>
    <w:rsid w:val="59BE6F19"/>
    <w:rsid w:val="59CA59DA"/>
    <w:rsid w:val="59E7033A"/>
    <w:rsid w:val="59F85334"/>
    <w:rsid w:val="5A026F22"/>
    <w:rsid w:val="5A696FA1"/>
    <w:rsid w:val="5AC02939"/>
    <w:rsid w:val="5B523ED9"/>
    <w:rsid w:val="5B6EF112"/>
    <w:rsid w:val="5B955B74"/>
    <w:rsid w:val="5BB22415"/>
    <w:rsid w:val="5BF90C6A"/>
    <w:rsid w:val="5C3F445D"/>
    <w:rsid w:val="5C8400C2"/>
    <w:rsid w:val="5C910A31"/>
    <w:rsid w:val="5D415FB3"/>
    <w:rsid w:val="5D6C7344"/>
    <w:rsid w:val="5D75321E"/>
    <w:rsid w:val="5DFF6E54"/>
    <w:rsid w:val="5E007C1C"/>
    <w:rsid w:val="5E2D3236"/>
    <w:rsid w:val="5E5E5BE2"/>
    <w:rsid w:val="5EA551F5"/>
    <w:rsid w:val="5EBFBAE5"/>
    <w:rsid w:val="5EFF71F7"/>
    <w:rsid w:val="5F3F7E06"/>
    <w:rsid w:val="5F41673E"/>
    <w:rsid w:val="5F4D50E3"/>
    <w:rsid w:val="5F773F0E"/>
    <w:rsid w:val="5F9B1F2D"/>
    <w:rsid w:val="5FB70BF2"/>
    <w:rsid w:val="5FBA3DFB"/>
    <w:rsid w:val="5FDD8864"/>
    <w:rsid w:val="5FDE9966"/>
    <w:rsid w:val="5FF53760"/>
    <w:rsid w:val="5FF732A1"/>
    <w:rsid w:val="5FFE14E1"/>
    <w:rsid w:val="60651FB9"/>
    <w:rsid w:val="60675D31"/>
    <w:rsid w:val="60CB5393"/>
    <w:rsid w:val="610F0A45"/>
    <w:rsid w:val="618A51FD"/>
    <w:rsid w:val="61AF2FE3"/>
    <w:rsid w:val="622C5484"/>
    <w:rsid w:val="62600C89"/>
    <w:rsid w:val="62BD60DC"/>
    <w:rsid w:val="62C27B96"/>
    <w:rsid w:val="6346230D"/>
    <w:rsid w:val="63521D29"/>
    <w:rsid w:val="635B32B1"/>
    <w:rsid w:val="635B9023"/>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1F375C"/>
    <w:rsid w:val="666A3541"/>
    <w:rsid w:val="670B01C0"/>
    <w:rsid w:val="676FC33B"/>
    <w:rsid w:val="67F3D168"/>
    <w:rsid w:val="67FF7476"/>
    <w:rsid w:val="68045877"/>
    <w:rsid w:val="682235A3"/>
    <w:rsid w:val="682D5AB2"/>
    <w:rsid w:val="68456707"/>
    <w:rsid w:val="685A261F"/>
    <w:rsid w:val="68C53B15"/>
    <w:rsid w:val="69074555"/>
    <w:rsid w:val="692F7608"/>
    <w:rsid w:val="693DF37A"/>
    <w:rsid w:val="695232F6"/>
    <w:rsid w:val="69780FAF"/>
    <w:rsid w:val="69CB5582"/>
    <w:rsid w:val="69F956C0"/>
    <w:rsid w:val="6A3F1ACC"/>
    <w:rsid w:val="6A522671"/>
    <w:rsid w:val="6A696B49"/>
    <w:rsid w:val="6A7C4ACE"/>
    <w:rsid w:val="6ACB22C2"/>
    <w:rsid w:val="6BCC55E2"/>
    <w:rsid w:val="6BEA0C2D"/>
    <w:rsid w:val="6BF78DFF"/>
    <w:rsid w:val="6C1D5E3D"/>
    <w:rsid w:val="6C264CF2"/>
    <w:rsid w:val="6C3311BD"/>
    <w:rsid w:val="6C3C39CA"/>
    <w:rsid w:val="6C4B4758"/>
    <w:rsid w:val="6C6A0E2B"/>
    <w:rsid w:val="6C801864"/>
    <w:rsid w:val="6CA43E69"/>
    <w:rsid w:val="6D946D06"/>
    <w:rsid w:val="6DF27FD2"/>
    <w:rsid w:val="6DFDE23D"/>
    <w:rsid w:val="6E615BFD"/>
    <w:rsid w:val="6E71421E"/>
    <w:rsid w:val="6ED21161"/>
    <w:rsid w:val="6EF9AE52"/>
    <w:rsid w:val="6F1654F2"/>
    <w:rsid w:val="6F1E7F02"/>
    <w:rsid w:val="6F3040D9"/>
    <w:rsid w:val="6F4F026E"/>
    <w:rsid w:val="6F5D6569"/>
    <w:rsid w:val="6F765F90"/>
    <w:rsid w:val="6F7FDFB1"/>
    <w:rsid w:val="6F9401C4"/>
    <w:rsid w:val="6FD902CD"/>
    <w:rsid w:val="6FEC785D"/>
    <w:rsid w:val="6FEE1F63"/>
    <w:rsid w:val="6FF005A6"/>
    <w:rsid w:val="6FF21006"/>
    <w:rsid w:val="6FFE06CC"/>
    <w:rsid w:val="6FFF514B"/>
    <w:rsid w:val="6FFF9A74"/>
    <w:rsid w:val="70C60851"/>
    <w:rsid w:val="70C64CF5"/>
    <w:rsid w:val="70FEC48C"/>
    <w:rsid w:val="714F6A99"/>
    <w:rsid w:val="71DB032D"/>
    <w:rsid w:val="71DE5408"/>
    <w:rsid w:val="71F0075E"/>
    <w:rsid w:val="723637B5"/>
    <w:rsid w:val="724265FE"/>
    <w:rsid w:val="72DF0932"/>
    <w:rsid w:val="73301622"/>
    <w:rsid w:val="733BB6D5"/>
    <w:rsid w:val="7343262D"/>
    <w:rsid w:val="738B5D82"/>
    <w:rsid w:val="73FA37E8"/>
    <w:rsid w:val="743957DE"/>
    <w:rsid w:val="744523C5"/>
    <w:rsid w:val="745037BC"/>
    <w:rsid w:val="7460720F"/>
    <w:rsid w:val="7463506E"/>
    <w:rsid w:val="74A40EAA"/>
    <w:rsid w:val="74F7BFB3"/>
    <w:rsid w:val="753FE270"/>
    <w:rsid w:val="767C2482"/>
    <w:rsid w:val="76BF1D50"/>
    <w:rsid w:val="76CF4616"/>
    <w:rsid w:val="76FF9AAE"/>
    <w:rsid w:val="77BE6922"/>
    <w:rsid w:val="77E10D61"/>
    <w:rsid w:val="77F71C38"/>
    <w:rsid w:val="77FA34D6"/>
    <w:rsid w:val="77FB84DA"/>
    <w:rsid w:val="77FC3147"/>
    <w:rsid w:val="77FE3F73"/>
    <w:rsid w:val="77FF68EE"/>
    <w:rsid w:val="78016613"/>
    <w:rsid w:val="78270946"/>
    <w:rsid w:val="786B1CDE"/>
    <w:rsid w:val="78853E63"/>
    <w:rsid w:val="78B27C05"/>
    <w:rsid w:val="78D51699"/>
    <w:rsid w:val="78DF4F2A"/>
    <w:rsid w:val="78FD410D"/>
    <w:rsid w:val="78FD502C"/>
    <w:rsid w:val="790A5798"/>
    <w:rsid w:val="79367029"/>
    <w:rsid w:val="799FAD44"/>
    <w:rsid w:val="79A96F62"/>
    <w:rsid w:val="79C42DA7"/>
    <w:rsid w:val="79DC699D"/>
    <w:rsid w:val="7A031D57"/>
    <w:rsid w:val="7A3613CA"/>
    <w:rsid w:val="7AAFE489"/>
    <w:rsid w:val="7ACBD6F1"/>
    <w:rsid w:val="7AF4420D"/>
    <w:rsid w:val="7AFE508C"/>
    <w:rsid w:val="7AFE80EB"/>
    <w:rsid w:val="7B09415C"/>
    <w:rsid w:val="7B3D3D71"/>
    <w:rsid w:val="7B5573A2"/>
    <w:rsid w:val="7BC54194"/>
    <w:rsid w:val="7BD6847C"/>
    <w:rsid w:val="7BDD631B"/>
    <w:rsid w:val="7BFBC6BB"/>
    <w:rsid w:val="7BFC8FEB"/>
    <w:rsid w:val="7BFF7B36"/>
    <w:rsid w:val="7BFF7BD2"/>
    <w:rsid w:val="7CB76EB7"/>
    <w:rsid w:val="7CEE976E"/>
    <w:rsid w:val="7CF151B2"/>
    <w:rsid w:val="7D124E1E"/>
    <w:rsid w:val="7D2A54B9"/>
    <w:rsid w:val="7D2DFB94"/>
    <w:rsid w:val="7D2FFAEA"/>
    <w:rsid w:val="7D55BD82"/>
    <w:rsid w:val="7D7A67D5"/>
    <w:rsid w:val="7D817E5A"/>
    <w:rsid w:val="7D871368"/>
    <w:rsid w:val="7D887789"/>
    <w:rsid w:val="7D8C697F"/>
    <w:rsid w:val="7D9B4E14"/>
    <w:rsid w:val="7DBA7990"/>
    <w:rsid w:val="7DD89C55"/>
    <w:rsid w:val="7DDF13A8"/>
    <w:rsid w:val="7DDFE0AB"/>
    <w:rsid w:val="7DF6AAA5"/>
    <w:rsid w:val="7DFBBD91"/>
    <w:rsid w:val="7E1D5009"/>
    <w:rsid w:val="7E374A9D"/>
    <w:rsid w:val="7E3DC628"/>
    <w:rsid w:val="7E6FD492"/>
    <w:rsid w:val="7E745D91"/>
    <w:rsid w:val="7E747B3F"/>
    <w:rsid w:val="7E7B9412"/>
    <w:rsid w:val="7E97EE27"/>
    <w:rsid w:val="7EB048EF"/>
    <w:rsid w:val="7EBFE655"/>
    <w:rsid w:val="7EDCF145"/>
    <w:rsid w:val="7EEF98BA"/>
    <w:rsid w:val="7EF0CE1D"/>
    <w:rsid w:val="7EF33589"/>
    <w:rsid w:val="7EF371DE"/>
    <w:rsid w:val="7F23B549"/>
    <w:rsid w:val="7F5B9BE6"/>
    <w:rsid w:val="7F7B21C8"/>
    <w:rsid w:val="7F7DC20B"/>
    <w:rsid w:val="7F7E91F3"/>
    <w:rsid w:val="7F7F8EB6"/>
    <w:rsid w:val="7F930498"/>
    <w:rsid w:val="7F96544F"/>
    <w:rsid w:val="7FA61257"/>
    <w:rsid w:val="7FBA2C79"/>
    <w:rsid w:val="7FBC5A54"/>
    <w:rsid w:val="7FBF938A"/>
    <w:rsid w:val="7FBFEA07"/>
    <w:rsid w:val="7FD25700"/>
    <w:rsid w:val="7FDB9800"/>
    <w:rsid w:val="7FDEFDCA"/>
    <w:rsid w:val="7FE650B7"/>
    <w:rsid w:val="7FF4B7E5"/>
    <w:rsid w:val="7FF60165"/>
    <w:rsid w:val="7FFB8230"/>
    <w:rsid w:val="7FFBA71B"/>
    <w:rsid w:val="7FFD03F7"/>
    <w:rsid w:val="7FFD896E"/>
    <w:rsid w:val="7FFF15B7"/>
    <w:rsid w:val="85F5E869"/>
    <w:rsid w:val="8BEB02D3"/>
    <w:rsid w:val="8C3A6288"/>
    <w:rsid w:val="8D6E2A02"/>
    <w:rsid w:val="93E7F62D"/>
    <w:rsid w:val="96E9FBDE"/>
    <w:rsid w:val="97FE9DDF"/>
    <w:rsid w:val="97FF526E"/>
    <w:rsid w:val="997751FC"/>
    <w:rsid w:val="99FCF0AD"/>
    <w:rsid w:val="9B46B894"/>
    <w:rsid w:val="9E3E847E"/>
    <w:rsid w:val="9FBDD79F"/>
    <w:rsid w:val="A9FFBE28"/>
    <w:rsid w:val="ABF3D279"/>
    <w:rsid w:val="AF77C4A8"/>
    <w:rsid w:val="AFDD191B"/>
    <w:rsid w:val="AFF785C3"/>
    <w:rsid w:val="AFFA290E"/>
    <w:rsid w:val="AFFFBFBD"/>
    <w:rsid w:val="B2BFC0B9"/>
    <w:rsid w:val="B35F9EE6"/>
    <w:rsid w:val="B7DB73D0"/>
    <w:rsid w:val="BB7E983F"/>
    <w:rsid w:val="BBFC4177"/>
    <w:rsid w:val="BBFFC68E"/>
    <w:rsid w:val="BCFDC13A"/>
    <w:rsid w:val="BCFF60B7"/>
    <w:rsid w:val="BCFFA3F3"/>
    <w:rsid w:val="BD5E9AC8"/>
    <w:rsid w:val="BDEF8139"/>
    <w:rsid w:val="BDF57D7F"/>
    <w:rsid w:val="BDF9BAD6"/>
    <w:rsid w:val="BE7C35A1"/>
    <w:rsid w:val="BEC5621C"/>
    <w:rsid w:val="BEE3B0D7"/>
    <w:rsid w:val="BEF3F9D6"/>
    <w:rsid w:val="BEFE07D2"/>
    <w:rsid w:val="BF6F8258"/>
    <w:rsid w:val="BF7E1FC8"/>
    <w:rsid w:val="BFD7E912"/>
    <w:rsid w:val="BFDC1BE5"/>
    <w:rsid w:val="BFDF4035"/>
    <w:rsid w:val="BFF19CC1"/>
    <w:rsid w:val="BFF395C2"/>
    <w:rsid w:val="BFFB74DD"/>
    <w:rsid w:val="C3D7D45E"/>
    <w:rsid w:val="C5ED2061"/>
    <w:rsid w:val="C5FD1631"/>
    <w:rsid w:val="C67DF352"/>
    <w:rsid w:val="C76F889B"/>
    <w:rsid w:val="C7BEDD75"/>
    <w:rsid w:val="CADDC3C6"/>
    <w:rsid w:val="CAED4D35"/>
    <w:rsid w:val="CCF9DF7B"/>
    <w:rsid w:val="CEFDBF02"/>
    <w:rsid w:val="CFB21497"/>
    <w:rsid w:val="CFFBF0B8"/>
    <w:rsid w:val="CFFC2F28"/>
    <w:rsid w:val="D4CD0CA6"/>
    <w:rsid w:val="D5717BE2"/>
    <w:rsid w:val="D5EF42BC"/>
    <w:rsid w:val="D5FDCE05"/>
    <w:rsid w:val="D6BEDD52"/>
    <w:rsid w:val="D79F0258"/>
    <w:rsid w:val="D7BF8066"/>
    <w:rsid w:val="D97DEA6C"/>
    <w:rsid w:val="DABD22A0"/>
    <w:rsid w:val="DAF7950A"/>
    <w:rsid w:val="DAFF60A7"/>
    <w:rsid w:val="DBEF11B4"/>
    <w:rsid w:val="DDB65769"/>
    <w:rsid w:val="DDBF800D"/>
    <w:rsid w:val="DDDFF55F"/>
    <w:rsid w:val="DDFDCC82"/>
    <w:rsid w:val="DEBDCF19"/>
    <w:rsid w:val="DF79D8B0"/>
    <w:rsid w:val="DFADE370"/>
    <w:rsid w:val="DFAFF34C"/>
    <w:rsid w:val="DFD34E4D"/>
    <w:rsid w:val="DFF8A1A5"/>
    <w:rsid w:val="DFF8F9D2"/>
    <w:rsid w:val="E17D7440"/>
    <w:rsid w:val="E1FDE17E"/>
    <w:rsid w:val="E3CE1A8B"/>
    <w:rsid w:val="E6A767BE"/>
    <w:rsid w:val="E7CE65DC"/>
    <w:rsid w:val="E7CF4065"/>
    <w:rsid w:val="E7ECC4C0"/>
    <w:rsid w:val="E9FE1762"/>
    <w:rsid w:val="EBDBD6F9"/>
    <w:rsid w:val="EBEE9053"/>
    <w:rsid w:val="EBFD0C98"/>
    <w:rsid w:val="EC7F9E04"/>
    <w:rsid w:val="ECADA382"/>
    <w:rsid w:val="ECCEA633"/>
    <w:rsid w:val="ED757AAC"/>
    <w:rsid w:val="ED7D48A6"/>
    <w:rsid w:val="EDA590F6"/>
    <w:rsid w:val="EDCFBC5E"/>
    <w:rsid w:val="EDE59BF0"/>
    <w:rsid w:val="EDFF0E0F"/>
    <w:rsid w:val="EEAB9F4B"/>
    <w:rsid w:val="EEAEA2F0"/>
    <w:rsid w:val="EEFF9811"/>
    <w:rsid w:val="EF771546"/>
    <w:rsid w:val="EFDE0C5F"/>
    <w:rsid w:val="EFF17EB3"/>
    <w:rsid w:val="EFFD6861"/>
    <w:rsid w:val="F3DB38F4"/>
    <w:rsid w:val="F4E87A32"/>
    <w:rsid w:val="F4EF36E1"/>
    <w:rsid w:val="F567A33A"/>
    <w:rsid w:val="F5B5D6BC"/>
    <w:rsid w:val="F5F51202"/>
    <w:rsid w:val="F5F74323"/>
    <w:rsid w:val="F5FA9187"/>
    <w:rsid w:val="F63B0B21"/>
    <w:rsid w:val="F66DFF9E"/>
    <w:rsid w:val="F6739E4D"/>
    <w:rsid w:val="F69CB047"/>
    <w:rsid w:val="F6C34112"/>
    <w:rsid w:val="F6DFAC65"/>
    <w:rsid w:val="F72C4391"/>
    <w:rsid w:val="F75FC83D"/>
    <w:rsid w:val="F76877E4"/>
    <w:rsid w:val="F79F2741"/>
    <w:rsid w:val="F7DEF78B"/>
    <w:rsid w:val="F7F5E300"/>
    <w:rsid w:val="F7FCBA78"/>
    <w:rsid w:val="F9775F6D"/>
    <w:rsid w:val="F9FD5FD7"/>
    <w:rsid w:val="FBAF1CBE"/>
    <w:rsid w:val="FBB743DA"/>
    <w:rsid w:val="FBBD3CD6"/>
    <w:rsid w:val="FBDFCB4A"/>
    <w:rsid w:val="FBF67256"/>
    <w:rsid w:val="FBFE82B8"/>
    <w:rsid w:val="FBFFEE8D"/>
    <w:rsid w:val="FCAFB9A8"/>
    <w:rsid w:val="FCE6EAC1"/>
    <w:rsid w:val="FCF668FE"/>
    <w:rsid w:val="FCFF8D00"/>
    <w:rsid w:val="FD3F7EB1"/>
    <w:rsid w:val="FD569665"/>
    <w:rsid w:val="FD6F0634"/>
    <w:rsid w:val="FDFB8A59"/>
    <w:rsid w:val="FE731471"/>
    <w:rsid w:val="FE770BED"/>
    <w:rsid w:val="FE7F1FC1"/>
    <w:rsid w:val="FEBFD427"/>
    <w:rsid w:val="FECB5CCF"/>
    <w:rsid w:val="FEDC2109"/>
    <w:rsid w:val="FEDEB30B"/>
    <w:rsid w:val="FEDEB33E"/>
    <w:rsid w:val="FEEAEC7B"/>
    <w:rsid w:val="FEEE7F5D"/>
    <w:rsid w:val="FEF8BF4B"/>
    <w:rsid w:val="FEFB79F8"/>
    <w:rsid w:val="FEFBB7CA"/>
    <w:rsid w:val="FF241223"/>
    <w:rsid w:val="FF32264E"/>
    <w:rsid w:val="FF5752F8"/>
    <w:rsid w:val="FF582651"/>
    <w:rsid w:val="FF671154"/>
    <w:rsid w:val="FF7D2C37"/>
    <w:rsid w:val="FF7F85C9"/>
    <w:rsid w:val="FF7FA245"/>
    <w:rsid w:val="FFBF86FE"/>
    <w:rsid w:val="FFC5F143"/>
    <w:rsid w:val="FFD37126"/>
    <w:rsid w:val="FFDB3F90"/>
    <w:rsid w:val="FFDB9757"/>
    <w:rsid w:val="FFE59BEC"/>
    <w:rsid w:val="FFEBF9AE"/>
    <w:rsid w:val="FFF3D209"/>
    <w:rsid w:val="FFF94342"/>
    <w:rsid w:val="FFFB088A"/>
    <w:rsid w:val="FFFB1B1C"/>
    <w:rsid w:val="FFFBA691"/>
    <w:rsid w:val="FFFD2A81"/>
    <w:rsid w:val="FFFE9296"/>
    <w:rsid w:val="FFFEC595"/>
    <w:rsid w:val="FFFF09CB"/>
    <w:rsid w:val="FFFF5333"/>
    <w:rsid w:val="FFFFB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Body Text Indent"/>
    <w:basedOn w:val="1"/>
    <w:next w:val="4"/>
    <w:qFormat/>
    <w:uiPriority w:val="0"/>
    <w:pPr>
      <w:ind w:firstLine="640" w:firstLineChars="200"/>
    </w:pPr>
    <w:rPr>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NormalCharacter"/>
    <w:semiHidden/>
    <w:qFormat/>
    <w:uiPriority w:val="0"/>
  </w:style>
  <w:style w:type="paragraph" w:customStyle="1" w:styleId="15">
    <w:name w:val="No Spacing_ad81b47b-6779-4c76-b471-79375858c8cb"/>
    <w:basedOn w:val="1"/>
    <w:qFormat/>
    <w:uiPriority w:val="0"/>
    <w:pPr>
      <w:ind w:firstLine="200" w:firstLineChars="200"/>
    </w:pPr>
    <w:rPr>
      <w:rFonts w:ascii="Calibri" w:hAnsi="Calibri" w:cs="宋体"/>
      <w:szCs w:val="21"/>
    </w:rPr>
  </w:style>
  <w:style w:type="character" w:customStyle="1" w:styleId="16">
    <w:name w:val="15"/>
    <w:basedOn w:val="12"/>
    <w:qFormat/>
    <w:uiPriority w:val="0"/>
    <w:rPr>
      <w:rFonts w:hint="default" w:ascii="Times New Roman" w:hAnsi="Times New Roman" w:cs="Times New Roman"/>
    </w:rPr>
  </w:style>
  <w:style w:type="character" w:customStyle="1" w:styleId="17">
    <w:name w:val="10"/>
    <w:basedOn w:val="12"/>
    <w:qFormat/>
    <w:uiPriority w:val="0"/>
    <w:rPr>
      <w:rFonts w:hint="default" w:ascii="Times New Roman" w:hAnsi="Times New Roman" w:cs="Times New Roman"/>
    </w:rPr>
  </w:style>
  <w:style w:type="paragraph" w:customStyle="1" w:styleId="18">
    <w:name w:val="toa heading1"/>
    <w:basedOn w:val="1"/>
    <w:next w:val="1"/>
    <w:qFormat/>
    <w:uiPriority w:val="0"/>
    <w:pPr>
      <w:spacing w:before="120" w:beforeLines="0" w:after="200" w:afterLines="0" w:line="276" w:lineRule="auto"/>
    </w:pPr>
    <w:rPr>
      <w:rFonts w:ascii="Arial" w:hAnsi="Arial" w:eastAsia="宋体" w:cs="Times New Roman"/>
      <w:sz w:val="24"/>
      <w:szCs w:val="24"/>
    </w:rPr>
  </w:style>
  <w:style w:type="paragraph" w:customStyle="1" w:styleId="19">
    <w:name w:val="Default"/>
    <w:qFormat/>
    <w:uiPriority w:val="0"/>
    <w:pPr>
      <w:widowControl w:val="0"/>
      <w:autoSpaceDE w:val="0"/>
      <w:autoSpaceDN w:val="0"/>
      <w:adjustRightInd w:val="0"/>
    </w:pPr>
    <w:rPr>
      <w:rFonts w:ascii="黑体" w:hAnsi="方正兰亭黑_GBK"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4510</Words>
  <Characters>4803</Characters>
  <Lines>1</Lines>
  <Paragraphs>1</Paragraphs>
  <TotalTime>0</TotalTime>
  <ScaleCrop>false</ScaleCrop>
  <LinksUpToDate>false</LinksUpToDate>
  <CharactersWithSpaces>5061</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2021-04-24T15:48:00Z</dcterms:created>
  <dc:creator>彭礼孝</dc:creator>
  <cp:lastModifiedBy>木茜</cp:lastModifiedBy>
  <cp:lastPrinted>2024-07-11T01:50:00Z</cp:lastPrinted>
  <dcterms:modified xsi:type="dcterms:W3CDTF">2025-09-28T08:27:03Z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ICV">
    <vt:lpwstr>AC748B8CC9C05524FD95D368394DF963</vt:lpwstr>
  </property>
</Properties>
</file>