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640" w:firstLineChars="200"/>
        <w:jc w:val="left"/>
        <w:rPr>
          <w:rFonts w:cs="Times New Roman"/>
          <w:color w:val="auto"/>
        </w:rPr>
      </w:pPr>
    </w:p>
    <w:p>
      <w:pPr>
        <w:spacing w:line="600" w:lineRule="exact"/>
        <w:jc w:val="both"/>
        <w:rPr>
          <w:rFonts w:hint="eastAsia" w:ascii="方正小标宋简体" w:hAnsi="方正小标宋简体" w:eastAsia="方正小标宋简体" w:cs="方正小标宋简体"/>
          <w:color w:val="auto"/>
          <w:sz w:val="44"/>
          <w:szCs w:val="44"/>
        </w:rPr>
      </w:pPr>
    </w:p>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color w:val="auto"/>
          <w:sz w:val="44"/>
          <w:szCs w:val="44"/>
        </w:rPr>
        <w:sectPr>
          <w:pgSz w:w="11906" w:h="16838"/>
          <w:pgMar w:top="1440" w:right="1519" w:bottom="1440" w:left="1519" w:header="851" w:footer="992" w:gutter="0"/>
          <w:pgBorders>
            <w:top w:val="none" w:sz="0" w:space="0"/>
            <w:left w:val="none" w:sz="0" w:space="0"/>
            <w:bottom w:val="none" w:sz="0" w:space="0"/>
            <w:right w:val="none" w:sz="0" w:space="0"/>
          </w:pgBorders>
          <w:pgNumType w:fmt="numberInDash"/>
          <w:cols w:space="425" w:num="1"/>
          <w:docGrid w:type="lines" w:linePitch="312" w:charSpace="0"/>
        </w:sectPr>
      </w:pPr>
    </w:p>
    <w:p>
      <w:pPr>
        <w:keepNext w:val="0"/>
        <w:keepLines w:val="0"/>
        <w:pageBreakBefore w:val="0"/>
        <w:widowControl w:val="0"/>
        <w:kinsoku/>
        <w:wordWrap/>
        <w:overflowPunct/>
        <w:topLinePunct w:val="0"/>
        <w:autoSpaceDE/>
        <w:autoSpaceDN/>
        <w:bidi w:val="0"/>
        <w:adjustRightInd w:val="0"/>
        <w:snapToGrid w:val="0"/>
        <w:spacing w:line="7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val="0"/>
          <w:bCs/>
          <w:color w:val="auto"/>
          <w:sz w:val="44"/>
          <w:szCs w:val="44"/>
          <w:shd w:val="clear" w:color="auto" w:fill="auto"/>
          <w:lang w:eastAsia="zh-CN"/>
        </w:rPr>
      </w:pPr>
      <w:r>
        <w:rPr>
          <w:rFonts w:hint="eastAsia" w:ascii="方正小标宋简体" w:hAnsi="方正小标宋简体" w:eastAsia="方正小标宋简体" w:cs="方正小标宋简体"/>
          <w:b w:val="0"/>
          <w:bCs/>
          <w:color w:val="auto"/>
          <w:sz w:val="44"/>
          <w:szCs w:val="44"/>
          <w:shd w:val="clear" w:color="auto" w:fill="auto"/>
        </w:rPr>
        <w:t>隆回县</w:t>
      </w:r>
      <w:r>
        <w:rPr>
          <w:rFonts w:hint="eastAsia" w:ascii="方正小标宋简体" w:hAnsi="方正小标宋简体" w:eastAsia="方正小标宋简体" w:cs="方正小标宋简体"/>
          <w:b w:val="0"/>
          <w:bCs/>
          <w:color w:val="auto"/>
          <w:sz w:val="44"/>
          <w:szCs w:val="44"/>
          <w:shd w:val="clear" w:color="auto" w:fill="auto"/>
          <w:lang w:eastAsia="zh-CN"/>
        </w:rPr>
        <w:t>非国有文物建筑产权收购补偿</w:t>
      </w:r>
    </w:p>
    <w:p>
      <w:pPr>
        <w:keepNext w:val="0"/>
        <w:keepLines w:val="0"/>
        <w:pageBreakBefore w:val="0"/>
        <w:widowControl w:val="0"/>
        <w:kinsoku/>
        <w:wordWrap/>
        <w:overflowPunct/>
        <w:topLinePunct w:val="0"/>
        <w:autoSpaceDE/>
        <w:autoSpaceDN/>
        <w:bidi w:val="0"/>
        <w:adjustRightInd w:val="0"/>
        <w:snapToGrid w:val="0"/>
        <w:spacing w:line="700" w:lineRule="exact"/>
        <w:ind w:left="0" w:leftChars="0" w:right="0" w:rightChars="0" w:firstLine="0" w:firstLineChars="0"/>
        <w:jc w:val="center"/>
        <w:textAlignment w:val="auto"/>
        <w:outlineLvl w:val="9"/>
        <w:rPr>
          <w:rFonts w:hint="eastAsia"/>
          <w:lang w:eastAsia="zh-CN"/>
        </w:rPr>
      </w:pPr>
      <w:r>
        <w:rPr>
          <w:rFonts w:hint="eastAsia" w:ascii="方正小标宋简体" w:hAnsi="方正小标宋简体" w:eastAsia="方正小标宋简体" w:cs="方正小标宋简体"/>
          <w:b w:val="0"/>
          <w:bCs/>
          <w:color w:val="auto"/>
          <w:sz w:val="44"/>
          <w:szCs w:val="44"/>
          <w:shd w:val="clear" w:color="auto" w:fill="auto"/>
          <w:lang w:eastAsia="zh-CN"/>
        </w:rPr>
        <w:t>置换流转的暂行</w:t>
      </w:r>
      <w:r>
        <w:rPr>
          <w:rFonts w:hint="eastAsia" w:ascii="方正小标宋简体" w:hAnsi="方正小标宋简体" w:eastAsia="方正小标宋简体" w:cs="方正小标宋简体"/>
          <w:b w:val="0"/>
          <w:bCs/>
          <w:color w:val="auto"/>
          <w:sz w:val="44"/>
          <w:szCs w:val="44"/>
          <w:shd w:val="clear" w:color="auto" w:fill="auto"/>
        </w:rPr>
        <w:t>办法</w:t>
      </w:r>
      <w:r>
        <w:rPr>
          <w:rFonts w:hint="eastAsia" w:ascii="方正小标宋简体" w:hAnsi="方正小标宋简体" w:eastAsia="方正小标宋简体" w:cs="方正小标宋简体"/>
          <w:b w:val="0"/>
          <w:bCs/>
          <w:color w:val="auto"/>
          <w:sz w:val="44"/>
          <w:szCs w:val="44"/>
          <w:shd w:val="clear" w:color="auto" w:fill="auto"/>
          <w:lang w:eastAsia="zh-CN"/>
        </w:rPr>
        <w:t>（</w:t>
      </w:r>
      <w:r>
        <w:rPr>
          <w:rFonts w:hint="eastAsia" w:ascii="方正小标宋简体" w:hAnsi="方正小标宋简体" w:eastAsia="方正小标宋简体" w:cs="方正小标宋简体"/>
          <w:b w:val="0"/>
          <w:bCs/>
          <w:color w:val="auto"/>
          <w:sz w:val="44"/>
          <w:szCs w:val="44"/>
          <w:shd w:val="clear" w:color="auto" w:fill="auto"/>
          <w:lang w:val="en-US" w:eastAsia="zh-CN"/>
        </w:rPr>
        <w:t>征集稿</w:t>
      </w:r>
      <w:bookmarkStart w:id="0" w:name="_GoBack"/>
      <w:bookmarkEnd w:id="0"/>
      <w:r>
        <w:rPr>
          <w:rFonts w:hint="eastAsia" w:ascii="方正小标宋简体" w:hAnsi="方正小标宋简体" w:eastAsia="方正小标宋简体" w:cs="方正小标宋简体"/>
          <w:b w:val="0"/>
          <w:bCs/>
          <w:color w:val="auto"/>
          <w:sz w:val="44"/>
          <w:szCs w:val="44"/>
          <w:shd w:val="clear" w:color="auto" w:fill="auto"/>
          <w:lang w:eastAsia="zh-CN"/>
        </w:rPr>
        <w:t>）</w:t>
      </w:r>
    </w:p>
    <w:p>
      <w:pPr>
        <w:pStyle w:val="6"/>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Autospacing="0" w:afterAutospacing="0" w:line="586" w:lineRule="exact"/>
        <w:ind w:right="0" w:rightChars="0"/>
        <w:jc w:val="center"/>
        <w:textAlignment w:val="auto"/>
        <w:outlineLvl w:val="9"/>
        <w:rPr>
          <w:rFonts w:hint="eastAsia" w:ascii="黑体" w:hAnsi="黑体" w:eastAsia="黑体" w:cs="黑体"/>
          <w:b w:val="0"/>
          <w:bCs w:val="0"/>
          <w:color w:val="auto"/>
          <w:sz w:val="32"/>
          <w:szCs w:val="32"/>
          <w:shd w:val="clear" w:color="auto" w:fill="auto"/>
          <w:lang w:eastAsia="zh-CN"/>
        </w:rPr>
      </w:pPr>
      <w:r>
        <w:rPr>
          <w:rFonts w:hint="eastAsia" w:ascii="黑体" w:hAnsi="黑体" w:eastAsia="黑体" w:cs="黑体"/>
          <w:b w:val="0"/>
          <w:bCs w:val="0"/>
          <w:color w:val="auto"/>
          <w:sz w:val="32"/>
          <w:szCs w:val="32"/>
          <w:shd w:val="clear" w:color="auto" w:fill="auto"/>
          <w:lang w:eastAsia="zh-CN"/>
        </w:rPr>
        <w:t>第一章</w:t>
      </w:r>
      <w:r>
        <w:rPr>
          <w:rFonts w:hint="eastAsia" w:ascii="黑体" w:hAnsi="黑体" w:eastAsia="黑体" w:cs="黑体"/>
          <w:b w:val="0"/>
          <w:bCs w:val="0"/>
          <w:color w:val="auto"/>
          <w:sz w:val="32"/>
          <w:szCs w:val="32"/>
          <w:shd w:val="clear" w:color="auto" w:fill="auto"/>
          <w:lang w:val="en-US" w:eastAsia="zh-CN"/>
        </w:rPr>
        <w:t xml:space="preserve">  总  则</w:t>
      </w:r>
    </w:p>
    <w:p>
      <w:pPr>
        <w:keepNext w:val="0"/>
        <w:keepLines w:val="0"/>
        <w:pageBreakBefore w:val="0"/>
        <w:numPr>
          <w:ilvl w:val="0"/>
          <w:numId w:val="0"/>
        </w:numPr>
        <w:kinsoku/>
        <w:wordWrap/>
        <w:overflowPunct/>
        <w:topLinePunct/>
        <w:autoSpaceDE/>
        <w:autoSpaceDN/>
        <w:bidi w:val="0"/>
        <w:adjustRightInd w:val="0"/>
        <w:snapToGrid w:val="0"/>
        <w:spacing w:line="586" w:lineRule="exact"/>
        <w:ind w:firstLine="643" w:firstLineChars="200"/>
        <w:textAlignment w:val="auto"/>
        <w:outlineLvl w:val="9"/>
        <w:rPr>
          <w:rFonts w:hint="eastAsia" w:ascii="仿宋_GB2312" w:hAnsi="仿宋_GB2312" w:eastAsia="仿宋_GB2312" w:cs="仿宋_GB2312"/>
          <w:b w:val="0"/>
          <w:bCs w:val="0"/>
          <w:color w:val="auto"/>
          <w:sz w:val="32"/>
          <w:szCs w:val="32"/>
          <w:shd w:val="clear" w:color="auto" w:fill="auto"/>
        </w:rPr>
      </w:pPr>
      <w:r>
        <w:rPr>
          <w:rFonts w:hint="eastAsia" w:ascii="仿宋_GB2312" w:hAnsi="仿宋_GB2312" w:eastAsia="仿宋_GB2312" w:cs="仿宋_GB2312"/>
          <w:b/>
          <w:bCs/>
          <w:i w:val="0"/>
          <w:caps w:val="0"/>
          <w:color w:val="auto"/>
          <w:spacing w:val="0"/>
          <w:sz w:val="32"/>
          <w:szCs w:val="32"/>
          <w:shd w:val="clear" w:color="auto" w:fill="auto"/>
          <w:lang w:eastAsia="zh-CN"/>
        </w:rPr>
        <w:t>第一条</w:t>
      </w:r>
      <w:r>
        <w:rPr>
          <w:rFonts w:hint="eastAsia" w:ascii="仿宋_GB2312" w:hAnsi="仿宋_GB2312" w:eastAsia="仿宋_GB2312" w:cs="仿宋_GB2312"/>
          <w:b w:val="0"/>
          <w:bCs w:val="0"/>
          <w:i w:val="0"/>
          <w:caps w:val="0"/>
          <w:color w:val="auto"/>
          <w:spacing w:val="0"/>
          <w:sz w:val="32"/>
          <w:szCs w:val="32"/>
          <w:shd w:val="clear" w:color="auto" w:fill="auto"/>
          <w:lang w:val="en-US" w:eastAsia="zh-CN"/>
        </w:rPr>
        <w:t xml:space="preserve">  </w:t>
      </w:r>
      <w:r>
        <w:rPr>
          <w:rFonts w:hint="eastAsia" w:ascii="仿宋_GB2312" w:hAnsi="仿宋_GB2312" w:eastAsia="仿宋_GB2312" w:cs="仿宋_GB2312"/>
          <w:b w:val="0"/>
          <w:bCs w:val="0"/>
          <w:i w:val="0"/>
          <w:caps w:val="0"/>
          <w:color w:val="auto"/>
          <w:spacing w:val="0"/>
          <w:sz w:val="32"/>
          <w:szCs w:val="32"/>
          <w:shd w:val="clear" w:color="auto" w:fill="auto"/>
          <w:lang w:eastAsia="zh-CN"/>
        </w:rPr>
        <w:t>为</w:t>
      </w:r>
      <w:r>
        <w:rPr>
          <w:rFonts w:hint="eastAsia" w:ascii="仿宋_GB2312" w:hAnsi="仿宋_GB2312" w:eastAsia="仿宋_GB2312" w:cs="仿宋_GB2312"/>
          <w:b w:val="0"/>
          <w:bCs w:val="0"/>
          <w:i w:val="0"/>
          <w:caps w:val="0"/>
          <w:color w:val="auto"/>
          <w:spacing w:val="0"/>
          <w:sz w:val="32"/>
          <w:szCs w:val="32"/>
          <w:shd w:val="clear" w:color="auto" w:fill="auto"/>
        </w:rPr>
        <w:t>深刻把握文物工作面临的新形势新任务新要求，</w:t>
      </w:r>
      <w:r>
        <w:rPr>
          <w:rStyle w:val="9"/>
          <w:rFonts w:hint="eastAsia" w:ascii="仿宋_GB2312" w:hAnsi="仿宋_GB2312" w:eastAsia="仿宋_GB2312" w:cs="仿宋_GB2312"/>
          <w:b w:val="0"/>
          <w:bCs w:val="0"/>
          <w:i w:val="0"/>
          <w:caps w:val="0"/>
          <w:color w:val="auto"/>
          <w:spacing w:val="0"/>
          <w:sz w:val="32"/>
          <w:szCs w:val="32"/>
          <w:shd w:val="clear" w:color="auto" w:fill="auto"/>
        </w:rPr>
        <w:t>全面加强文物保护</w:t>
      </w:r>
      <w:r>
        <w:rPr>
          <w:rStyle w:val="9"/>
          <w:rFonts w:hint="eastAsia" w:ascii="仿宋_GB2312" w:hAnsi="仿宋_GB2312" w:eastAsia="仿宋_GB2312" w:cs="仿宋_GB2312"/>
          <w:b w:val="0"/>
          <w:bCs w:val="0"/>
          <w:i w:val="0"/>
          <w:caps w:val="0"/>
          <w:color w:val="auto"/>
          <w:spacing w:val="0"/>
          <w:sz w:val="32"/>
          <w:szCs w:val="32"/>
          <w:shd w:val="clear" w:color="auto" w:fill="auto"/>
          <w:lang w:eastAsia="zh-CN"/>
        </w:rPr>
        <w:t>利用，</w:t>
      </w:r>
      <w:r>
        <w:rPr>
          <w:rFonts w:hint="eastAsia" w:ascii="仿宋_GB2312" w:hAnsi="仿宋_GB2312" w:eastAsia="仿宋_GB2312" w:cs="仿宋_GB2312"/>
          <w:b w:val="0"/>
          <w:bCs w:val="0"/>
          <w:i w:val="0"/>
          <w:caps w:val="0"/>
          <w:color w:val="auto"/>
          <w:spacing w:val="0"/>
          <w:sz w:val="32"/>
          <w:szCs w:val="32"/>
          <w:shd w:val="clear" w:color="auto" w:fill="auto"/>
        </w:rPr>
        <w:t>增强历史自觉、坚定文化自信，</w:t>
      </w:r>
      <w:r>
        <w:rPr>
          <w:rFonts w:hint="eastAsia" w:ascii="仿宋_GB2312" w:hAnsi="仿宋_GB2312" w:eastAsia="仿宋_GB2312" w:cs="仿宋_GB2312"/>
          <w:b w:val="0"/>
          <w:bCs w:val="0"/>
          <w:i w:val="0"/>
          <w:caps w:val="0"/>
          <w:color w:val="auto"/>
          <w:spacing w:val="0"/>
          <w:sz w:val="32"/>
          <w:szCs w:val="32"/>
          <w:shd w:val="clear" w:color="auto" w:fill="auto"/>
          <w:lang w:eastAsia="zh-CN"/>
        </w:rPr>
        <w:t>落实</w:t>
      </w:r>
      <w:r>
        <w:rPr>
          <w:rFonts w:hint="eastAsia" w:ascii="仿宋_GB2312" w:hAnsi="仿宋_GB2312" w:eastAsia="仿宋_GB2312" w:cs="仿宋_GB2312"/>
          <w:b w:val="0"/>
          <w:bCs w:val="0"/>
          <w:i w:val="0"/>
          <w:caps w:val="0"/>
          <w:color w:val="auto"/>
          <w:spacing w:val="0"/>
          <w:sz w:val="32"/>
          <w:szCs w:val="32"/>
          <w:shd w:val="clear" w:color="auto" w:fill="auto"/>
        </w:rPr>
        <w:t>政府保护文物的主体责任</w:t>
      </w:r>
      <w:r>
        <w:rPr>
          <w:rFonts w:hint="eastAsia" w:ascii="仿宋_GB2312" w:hAnsi="仿宋_GB2312" w:eastAsia="仿宋_GB2312" w:cs="仿宋_GB2312"/>
          <w:b w:val="0"/>
          <w:bCs w:val="0"/>
          <w:i w:val="0"/>
          <w:caps w:val="0"/>
          <w:color w:val="auto"/>
          <w:spacing w:val="0"/>
          <w:sz w:val="32"/>
          <w:szCs w:val="32"/>
          <w:shd w:val="clear" w:color="auto" w:fill="auto"/>
          <w:lang w:eastAsia="zh-CN"/>
        </w:rPr>
        <w:t>，强化文物所有人、使用人直接责任，严厉打击破坏文物的违法犯罪行为，加强对文物火灾等文物安全事故的追责问责</w:t>
      </w:r>
      <w:r>
        <w:rPr>
          <w:rFonts w:hint="eastAsia" w:ascii="仿宋_GB2312" w:hAnsi="仿宋_GB2312" w:eastAsia="仿宋_GB2312" w:cs="仿宋_GB2312"/>
          <w:b w:val="0"/>
          <w:bCs w:val="0"/>
          <w:i w:val="0"/>
          <w:caps w:val="0"/>
          <w:color w:val="auto"/>
          <w:spacing w:val="0"/>
          <w:sz w:val="32"/>
          <w:szCs w:val="32"/>
          <w:shd w:val="clear" w:color="auto" w:fill="auto"/>
        </w:rPr>
        <w:t>。</w:t>
      </w:r>
      <w:r>
        <w:rPr>
          <w:rFonts w:hint="eastAsia" w:ascii="仿宋_GB2312" w:hAnsi="仿宋_GB2312" w:eastAsia="仿宋_GB2312" w:cs="仿宋_GB2312"/>
          <w:b w:val="0"/>
          <w:bCs w:val="0"/>
          <w:color w:val="auto"/>
          <w:sz w:val="32"/>
          <w:szCs w:val="32"/>
          <w:shd w:val="clear" w:color="auto" w:fill="auto"/>
        </w:rPr>
        <w:t>根据《中华人民共和国文物保护法》《中华人民共和国土地管理法》《</w:t>
      </w:r>
      <w:r>
        <w:rPr>
          <w:rFonts w:hint="eastAsia" w:ascii="仿宋_GB2312" w:hAnsi="仿宋_GB2312" w:eastAsia="仿宋_GB2312" w:cs="仿宋_GB2312"/>
          <w:b w:val="0"/>
          <w:bCs w:val="0"/>
          <w:color w:val="auto"/>
          <w:sz w:val="32"/>
          <w:szCs w:val="32"/>
          <w:shd w:val="clear" w:color="auto" w:fill="auto"/>
          <w:lang w:eastAsia="zh-CN"/>
        </w:rPr>
        <w:t>国家文物局印发</w:t>
      </w:r>
      <w:r>
        <w:rPr>
          <w:rFonts w:hint="eastAsia" w:ascii="仿宋_GB2312" w:hAnsi="仿宋_GB2312" w:eastAsia="仿宋_GB2312" w:cs="仿宋_GB2312"/>
          <w:b w:val="0"/>
          <w:bCs w:val="0"/>
          <w:i w:val="0"/>
          <w:caps w:val="0"/>
          <w:color w:val="auto"/>
          <w:spacing w:val="0"/>
          <w:sz w:val="32"/>
          <w:szCs w:val="32"/>
          <w:shd w:val="clear" w:color="auto" w:fill="auto"/>
          <w:lang w:eastAsia="zh-CN"/>
        </w:rPr>
        <w:t>〈关于鼓励和支持社会力量参与文物建筑保护利用的意见〉</w:t>
      </w:r>
      <w:r>
        <w:rPr>
          <w:rFonts w:hint="eastAsia" w:ascii="仿宋_GB2312" w:hAnsi="仿宋_GB2312" w:eastAsia="仿宋_GB2312" w:cs="仿宋_GB2312"/>
          <w:b w:val="0"/>
          <w:bCs w:val="0"/>
          <w:color w:val="auto"/>
          <w:sz w:val="32"/>
          <w:szCs w:val="32"/>
          <w:shd w:val="clear" w:color="auto" w:fill="auto"/>
          <w:lang w:eastAsia="zh-CN"/>
        </w:rPr>
        <w:t>的通知</w:t>
      </w:r>
      <w:r>
        <w:rPr>
          <w:rFonts w:hint="eastAsia" w:ascii="仿宋_GB2312" w:hAnsi="仿宋_GB2312" w:eastAsia="仿宋_GB2312" w:cs="仿宋_GB2312"/>
          <w:b w:val="0"/>
          <w:bCs w:val="0"/>
          <w:color w:val="auto"/>
          <w:sz w:val="32"/>
          <w:szCs w:val="32"/>
          <w:shd w:val="clear" w:color="auto" w:fill="auto"/>
        </w:rPr>
        <w:t>》《农业农村部 自然资源部关于规范农村宅基地审批管理的通知》</w:t>
      </w:r>
      <w:r>
        <w:rPr>
          <w:rFonts w:hint="eastAsia" w:ascii="仿宋_GB2312" w:hAnsi="仿宋_GB2312" w:eastAsia="仿宋_GB2312" w:cs="仿宋_GB2312"/>
          <w:b w:val="0"/>
          <w:bCs w:val="0"/>
          <w:color w:val="auto"/>
          <w:sz w:val="32"/>
          <w:szCs w:val="32"/>
          <w:shd w:val="clear" w:color="auto" w:fill="auto"/>
          <w:lang w:eastAsia="zh-CN"/>
        </w:rPr>
        <w:t>《湖南省文物保护单位管理办法》</w:t>
      </w:r>
      <w:r>
        <w:rPr>
          <w:rFonts w:hint="eastAsia" w:ascii="仿宋_GB2312" w:hAnsi="仿宋_GB2312" w:eastAsia="仿宋_GB2312" w:cs="仿宋_GB2312"/>
          <w:b w:val="0"/>
          <w:bCs w:val="0"/>
          <w:color w:val="auto"/>
          <w:sz w:val="32"/>
          <w:szCs w:val="32"/>
          <w:shd w:val="clear" w:color="auto" w:fill="auto"/>
        </w:rPr>
        <w:t>《湖南省农村住房建设管理办法》</w:t>
      </w:r>
      <w:r>
        <w:rPr>
          <w:rFonts w:hint="eastAsia" w:ascii="仿宋_GB2312" w:hAnsi="仿宋_GB2312" w:eastAsia="仿宋_GB2312" w:cs="仿宋_GB2312"/>
          <w:b w:val="0"/>
          <w:bCs w:val="0"/>
          <w:color w:val="auto"/>
          <w:sz w:val="32"/>
          <w:szCs w:val="32"/>
          <w:shd w:val="clear" w:color="auto" w:fill="auto"/>
          <w:lang w:eastAsia="zh-CN"/>
        </w:rPr>
        <w:t>等相关法律法规的规定</w:t>
      </w:r>
      <w:r>
        <w:rPr>
          <w:rFonts w:hint="eastAsia" w:ascii="仿宋_GB2312" w:hAnsi="仿宋_GB2312" w:eastAsia="仿宋_GB2312" w:cs="仿宋_GB2312"/>
          <w:b w:val="0"/>
          <w:bCs w:val="0"/>
          <w:color w:val="auto"/>
          <w:sz w:val="32"/>
          <w:szCs w:val="32"/>
          <w:shd w:val="clear" w:color="auto" w:fill="auto"/>
          <w:lang w:val="en-US" w:eastAsia="zh-CN"/>
        </w:rPr>
        <w:t>,参照</w:t>
      </w:r>
      <w:r>
        <w:rPr>
          <w:rFonts w:hint="eastAsia" w:ascii="仿宋_GB2312" w:hAnsi="仿宋_GB2312" w:eastAsia="仿宋_GB2312" w:cs="仿宋_GB2312"/>
          <w:b w:val="0"/>
          <w:bCs w:val="0"/>
          <w:color w:val="auto"/>
          <w:sz w:val="32"/>
          <w:szCs w:val="32"/>
          <w:shd w:val="clear" w:color="auto" w:fill="auto"/>
          <w:lang w:eastAsia="zh-CN"/>
        </w:rPr>
        <w:t>《湖南省人民政府关于调整湖南省征地补偿标准的通知》（湘政发</w:t>
      </w:r>
      <w:r>
        <w:rPr>
          <w:rFonts w:hint="eastAsia" w:ascii="宋体" w:hAnsi="宋体" w:eastAsia="宋体" w:cs="宋体"/>
          <w:b w:val="0"/>
          <w:bCs w:val="0"/>
          <w:color w:val="auto"/>
          <w:sz w:val="32"/>
          <w:szCs w:val="32"/>
          <w:shd w:val="clear" w:color="auto" w:fill="auto"/>
          <w:lang w:eastAsia="zh-CN"/>
        </w:rPr>
        <w:t>〔</w:t>
      </w:r>
      <w:r>
        <w:rPr>
          <w:rFonts w:hint="eastAsia" w:ascii="仿宋_GB2312" w:hAnsi="仿宋_GB2312" w:eastAsia="仿宋_GB2312" w:cs="仿宋_GB2312"/>
          <w:b w:val="0"/>
          <w:bCs w:val="0"/>
          <w:color w:val="auto"/>
          <w:sz w:val="32"/>
          <w:szCs w:val="32"/>
          <w:shd w:val="clear" w:color="auto" w:fill="auto"/>
          <w:lang w:val="en-US" w:eastAsia="zh-CN"/>
        </w:rPr>
        <w:t>2021</w:t>
      </w:r>
      <w:r>
        <w:rPr>
          <w:rFonts w:hint="eastAsia" w:ascii="宋体" w:hAnsi="宋体" w:eastAsia="宋体" w:cs="宋体"/>
          <w:b w:val="0"/>
          <w:bCs w:val="0"/>
          <w:color w:val="auto"/>
          <w:sz w:val="32"/>
          <w:szCs w:val="32"/>
          <w:shd w:val="clear" w:color="auto" w:fill="auto"/>
          <w:lang w:val="en-US" w:eastAsia="zh-CN"/>
        </w:rPr>
        <w:t>〕</w:t>
      </w:r>
      <w:r>
        <w:rPr>
          <w:rFonts w:hint="eastAsia" w:ascii="仿宋_GB2312" w:hAnsi="仿宋_GB2312" w:eastAsia="仿宋_GB2312" w:cs="仿宋_GB2312"/>
          <w:b w:val="0"/>
          <w:bCs w:val="0"/>
          <w:color w:val="auto"/>
          <w:sz w:val="32"/>
          <w:szCs w:val="32"/>
          <w:shd w:val="clear" w:color="auto" w:fill="auto"/>
          <w:lang w:val="en-US" w:eastAsia="zh-CN"/>
        </w:rPr>
        <w:t>3号）和</w:t>
      </w:r>
      <w:r>
        <w:rPr>
          <w:rFonts w:hint="eastAsia" w:ascii="仿宋_GB2312" w:hAnsi="仿宋_GB2312" w:eastAsia="仿宋_GB2312" w:cs="仿宋_GB2312"/>
          <w:b w:val="0"/>
          <w:bCs w:val="0"/>
          <w:color w:val="auto"/>
          <w:sz w:val="32"/>
          <w:szCs w:val="32"/>
          <w:shd w:val="clear" w:color="auto" w:fill="auto"/>
          <w:lang w:eastAsia="zh-CN"/>
        </w:rPr>
        <w:t>邵阳市、隆回县关于宅基地管理、居民自建房安全隐患专项整治</w:t>
      </w:r>
      <w:r>
        <w:rPr>
          <w:rFonts w:hint="eastAsia" w:ascii="仿宋_GB2312" w:hAnsi="仿宋_GB2312" w:eastAsia="仿宋_GB2312" w:cs="仿宋_GB2312"/>
          <w:b w:val="0"/>
          <w:bCs w:val="0"/>
          <w:color w:val="auto"/>
          <w:sz w:val="32"/>
          <w:szCs w:val="32"/>
          <w:shd w:val="clear" w:color="auto" w:fill="auto"/>
        </w:rPr>
        <w:t>等</w:t>
      </w:r>
      <w:r>
        <w:rPr>
          <w:rFonts w:hint="eastAsia" w:ascii="仿宋_GB2312" w:hAnsi="仿宋_GB2312" w:eastAsia="仿宋_GB2312" w:cs="仿宋_GB2312"/>
          <w:b w:val="0"/>
          <w:bCs w:val="0"/>
          <w:color w:val="auto"/>
          <w:sz w:val="32"/>
          <w:szCs w:val="32"/>
          <w:shd w:val="clear" w:color="auto" w:fill="auto"/>
          <w:lang w:eastAsia="zh-CN"/>
        </w:rPr>
        <w:t>相关规定，</w:t>
      </w:r>
      <w:r>
        <w:rPr>
          <w:rFonts w:hint="eastAsia" w:ascii="仿宋_GB2312" w:hAnsi="仿宋_GB2312" w:eastAsia="仿宋_GB2312" w:cs="仿宋_GB2312"/>
          <w:b w:val="0"/>
          <w:bCs w:val="0"/>
          <w:color w:val="auto"/>
          <w:sz w:val="32"/>
          <w:szCs w:val="32"/>
          <w:shd w:val="clear" w:color="auto" w:fill="auto"/>
        </w:rPr>
        <w:t>结合本县实际，制定本</w:t>
      </w:r>
      <w:r>
        <w:rPr>
          <w:rFonts w:hint="eastAsia" w:ascii="仿宋_GB2312" w:hAnsi="仿宋_GB2312" w:eastAsia="仿宋_GB2312" w:cs="仿宋_GB2312"/>
          <w:b w:val="0"/>
          <w:bCs w:val="0"/>
          <w:color w:val="auto"/>
          <w:sz w:val="32"/>
          <w:szCs w:val="32"/>
          <w:shd w:val="clear" w:color="auto" w:fill="auto"/>
          <w:lang w:eastAsia="zh-CN"/>
        </w:rPr>
        <w:t>暂行</w:t>
      </w:r>
      <w:r>
        <w:rPr>
          <w:rFonts w:hint="eastAsia" w:ascii="仿宋_GB2312" w:hAnsi="仿宋_GB2312" w:eastAsia="仿宋_GB2312" w:cs="仿宋_GB2312"/>
          <w:b w:val="0"/>
          <w:bCs w:val="0"/>
          <w:color w:val="auto"/>
          <w:sz w:val="32"/>
          <w:szCs w:val="32"/>
          <w:shd w:val="clear" w:color="auto" w:fill="auto"/>
        </w:rPr>
        <w:t>办法。</w:t>
      </w:r>
    </w:p>
    <w:p>
      <w:pPr>
        <w:keepNext w:val="0"/>
        <w:keepLines w:val="0"/>
        <w:pageBreakBefore w:val="0"/>
        <w:kinsoku/>
        <w:wordWrap/>
        <w:overflowPunct/>
        <w:topLinePunct/>
        <w:autoSpaceDE/>
        <w:autoSpaceDN/>
        <w:bidi w:val="0"/>
        <w:adjustRightInd w:val="0"/>
        <w:snapToGrid w:val="0"/>
        <w:spacing w:line="586" w:lineRule="exact"/>
        <w:ind w:firstLine="643" w:firstLineChars="200"/>
        <w:textAlignment w:val="auto"/>
        <w:outlineLvl w:val="9"/>
        <w:rPr>
          <w:rFonts w:hint="eastAsia" w:ascii="仿宋_GB2312" w:hAnsi="仿宋_GB2312" w:eastAsia="仿宋_GB2312" w:cs="仿宋_GB2312"/>
          <w:b w:val="0"/>
          <w:bCs w:val="0"/>
          <w:color w:val="auto"/>
          <w:sz w:val="32"/>
          <w:szCs w:val="32"/>
          <w:shd w:val="clear" w:color="auto" w:fill="auto"/>
        </w:rPr>
      </w:pPr>
      <w:r>
        <w:rPr>
          <w:rFonts w:hint="eastAsia" w:ascii="仿宋_GB2312" w:hAnsi="仿宋_GB2312" w:eastAsia="仿宋_GB2312" w:cs="仿宋_GB2312"/>
          <w:b/>
          <w:bCs/>
          <w:color w:val="auto"/>
          <w:sz w:val="32"/>
          <w:szCs w:val="32"/>
          <w:shd w:val="clear" w:color="auto" w:fill="auto"/>
        </w:rPr>
        <w:t>第二条</w:t>
      </w:r>
      <w:r>
        <w:rPr>
          <w:rFonts w:hint="eastAsia" w:ascii="仿宋_GB2312" w:hAnsi="仿宋_GB2312" w:eastAsia="仿宋_GB2312" w:cs="仿宋_GB2312"/>
          <w:b w:val="0"/>
          <w:bCs w:val="0"/>
          <w:color w:val="auto"/>
          <w:sz w:val="32"/>
          <w:szCs w:val="32"/>
          <w:shd w:val="clear" w:color="auto" w:fill="auto"/>
          <w:lang w:val="en-US" w:eastAsia="zh-CN"/>
        </w:rPr>
        <w:t xml:space="preserve">  </w:t>
      </w:r>
      <w:r>
        <w:rPr>
          <w:rFonts w:hint="eastAsia" w:ascii="仿宋_GB2312" w:hAnsi="仿宋_GB2312" w:eastAsia="仿宋_GB2312" w:cs="仿宋_GB2312"/>
          <w:b w:val="0"/>
          <w:bCs w:val="0"/>
          <w:color w:val="auto"/>
          <w:sz w:val="32"/>
          <w:szCs w:val="32"/>
          <w:shd w:val="clear" w:color="auto" w:fill="auto"/>
        </w:rPr>
        <w:t>本办法所称的</w:t>
      </w:r>
      <w:r>
        <w:rPr>
          <w:rFonts w:hint="eastAsia" w:ascii="仿宋_GB2312" w:hAnsi="仿宋_GB2312" w:eastAsia="仿宋_GB2312" w:cs="仿宋_GB2312"/>
          <w:b w:val="0"/>
          <w:bCs w:val="0"/>
          <w:color w:val="auto"/>
          <w:sz w:val="32"/>
          <w:szCs w:val="32"/>
          <w:shd w:val="clear" w:color="auto" w:fill="auto"/>
          <w:lang w:eastAsia="zh-CN"/>
        </w:rPr>
        <w:t>文物建筑</w:t>
      </w:r>
      <w:r>
        <w:rPr>
          <w:rFonts w:hint="eastAsia" w:ascii="仿宋_GB2312" w:hAnsi="仿宋_GB2312" w:eastAsia="仿宋_GB2312" w:cs="仿宋_GB2312"/>
          <w:b w:val="0"/>
          <w:bCs w:val="0"/>
          <w:color w:val="auto"/>
          <w:sz w:val="32"/>
          <w:szCs w:val="32"/>
          <w:shd w:val="clear" w:color="auto" w:fill="auto"/>
        </w:rPr>
        <w:t>是指</w:t>
      </w:r>
      <w:r>
        <w:rPr>
          <w:rFonts w:hint="eastAsia" w:ascii="仿宋_GB2312" w:hAnsi="仿宋_GB2312" w:eastAsia="仿宋_GB2312" w:cs="仿宋_GB2312"/>
          <w:b w:val="0"/>
          <w:bCs w:val="0"/>
          <w:color w:val="auto"/>
          <w:sz w:val="32"/>
          <w:szCs w:val="32"/>
          <w:shd w:val="clear" w:color="auto" w:fill="auto"/>
          <w:lang w:eastAsia="zh-CN"/>
        </w:rPr>
        <w:t>全县范围内已公布的</w:t>
      </w:r>
      <w:r>
        <w:rPr>
          <w:rFonts w:hint="eastAsia" w:ascii="仿宋_GB2312" w:hAnsi="仿宋_GB2312" w:eastAsia="仿宋_GB2312" w:cs="仿宋_GB2312"/>
          <w:b w:val="0"/>
          <w:bCs w:val="0"/>
          <w:color w:val="auto"/>
          <w:sz w:val="32"/>
          <w:szCs w:val="32"/>
          <w:shd w:val="clear" w:color="auto" w:fill="auto"/>
        </w:rPr>
        <w:t>文物保护单位</w:t>
      </w:r>
      <w:r>
        <w:rPr>
          <w:rFonts w:hint="eastAsia" w:ascii="仿宋_GB2312" w:hAnsi="仿宋_GB2312" w:eastAsia="仿宋_GB2312" w:cs="仿宋_GB2312"/>
          <w:b w:val="0"/>
          <w:bCs w:val="0"/>
          <w:color w:val="auto"/>
          <w:sz w:val="32"/>
          <w:szCs w:val="32"/>
          <w:shd w:val="clear" w:color="auto" w:fill="auto"/>
          <w:lang w:eastAsia="zh-CN"/>
        </w:rPr>
        <w:t>和尚未核定公布为文物保护单位的不可移动文物建筑。</w:t>
      </w:r>
    </w:p>
    <w:p>
      <w:pPr>
        <w:keepNext w:val="0"/>
        <w:keepLines w:val="0"/>
        <w:pageBreakBefore w:val="0"/>
        <w:kinsoku/>
        <w:wordWrap/>
        <w:overflowPunct/>
        <w:topLinePunct/>
        <w:autoSpaceDE/>
        <w:autoSpaceDN/>
        <w:bidi w:val="0"/>
        <w:adjustRightInd w:val="0"/>
        <w:snapToGrid w:val="0"/>
        <w:spacing w:line="586" w:lineRule="exact"/>
        <w:ind w:firstLine="643" w:firstLineChars="200"/>
        <w:textAlignment w:val="auto"/>
        <w:outlineLvl w:val="9"/>
        <w:rPr>
          <w:rFonts w:hint="eastAsia" w:ascii="仿宋_GB2312" w:hAnsi="仿宋_GB2312" w:eastAsia="仿宋_GB2312" w:cs="仿宋_GB2312"/>
          <w:color w:val="auto"/>
          <w:sz w:val="32"/>
          <w:szCs w:val="32"/>
          <w:shd w:val="clear" w:color="auto" w:fill="auto"/>
          <w:lang w:val="en-US" w:eastAsia="zh-CN"/>
        </w:rPr>
      </w:pPr>
      <w:r>
        <w:rPr>
          <w:rFonts w:hint="eastAsia" w:ascii="仿宋_GB2312" w:hAnsi="仿宋_GB2312" w:eastAsia="仿宋_GB2312" w:cs="仿宋_GB2312"/>
          <w:b/>
          <w:bCs/>
          <w:color w:val="auto"/>
          <w:sz w:val="32"/>
          <w:szCs w:val="32"/>
          <w:shd w:val="clear" w:color="auto" w:fill="auto"/>
          <w:lang w:eastAsia="zh-CN"/>
        </w:rPr>
        <w:t>第三条</w:t>
      </w:r>
      <w:r>
        <w:rPr>
          <w:rFonts w:hint="eastAsia" w:ascii="仿宋_GB2312" w:hAnsi="仿宋_GB2312" w:eastAsia="仿宋_GB2312" w:cs="仿宋_GB2312"/>
          <w:color w:val="auto"/>
          <w:sz w:val="32"/>
          <w:szCs w:val="32"/>
          <w:shd w:val="clear" w:color="auto" w:fill="auto"/>
          <w:lang w:val="en-US" w:eastAsia="zh-CN"/>
        </w:rPr>
        <w:t xml:space="preserve">  </w:t>
      </w:r>
      <w:r>
        <w:rPr>
          <w:rFonts w:hint="eastAsia" w:ascii="仿宋_GB2312" w:hAnsi="仿宋_GB2312" w:eastAsia="仿宋_GB2312" w:cs="仿宋_GB2312"/>
          <w:color w:val="auto"/>
          <w:sz w:val="32"/>
          <w:szCs w:val="32"/>
          <w:shd w:val="clear" w:color="auto" w:fill="auto"/>
        </w:rPr>
        <w:t>本办法适用于</w:t>
      </w:r>
      <w:r>
        <w:rPr>
          <w:rFonts w:hint="eastAsia" w:ascii="仿宋_GB2312" w:hAnsi="仿宋_GB2312" w:eastAsia="仿宋_GB2312" w:cs="仿宋_GB2312"/>
          <w:color w:val="auto"/>
          <w:sz w:val="32"/>
          <w:szCs w:val="32"/>
          <w:shd w:val="clear" w:color="auto" w:fill="auto"/>
          <w:lang w:eastAsia="zh-CN"/>
        </w:rPr>
        <w:t>隆回</w:t>
      </w:r>
      <w:r>
        <w:rPr>
          <w:rFonts w:hint="eastAsia" w:ascii="仿宋_GB2312" w:hAnsi="仿宋_GB2312" w:eastAsia="仿宋_GB2312" w:cs="仿宋_GB2312"/>
          <w:color w:val="auto"/>
          <w:sz w:val="32"/>
          <w:szCs w:val="32"/>
          <w:shd w:val="clear" w:color="auto" w:fill="auto"/>
        </w:rPr>
        <w:t>县范围内被</w:t>
      </w:r>
      <w:r>
        <w:rPr>
          <w:rFonts w:hint="eastAsia" w:ascii="仿宋_GB2312" w:hAnsi="仿宋_GB2312" w:eastAsia="仿宋_GB2312" w:cs="仿宋_GB2312"/>
          <w:color w:val="auto"/>
          <w:sz w:val="32"/>
          <w:szCs w:val="32"/>
          <w:shd w:val="clear" w:color="auto" w:fill="auto"/>
          <w:lang w:eastAsia="zh-CN"/>
        </w:rPr>
        <w:t>收购</w:t>
      </w:r>
      <w:r>
        <w:rPr>
          <w:rFonts w:hint="eastAsia" w:ascii="仿宋_GB2312" w:hAnsi="仿宋_GB2312" w:eastAsia="仿宋_GB2312" w:cs="仿宋_GB2312"/>
          <w:color w:val="auto"/>
          <w:sz w:val="32"/>
          <w:szCs w:val="32"/>
          <w:shd w:val="clear" w:color="auto" w:fill="auto"/>
        </w:rPr>
        <w:t>的</w:t>
      </w:r>
      <w:r>
        <w:rPr>
          <w:rFonts w:hint="eastAsia" w:ascii="仿宋_GB2312" w:hAnsi="仿宋_GB2312" w:eastAsia="仿宋_GB2312" w:cs="仿宋_GB2312"/>
          <w:color w:val="auto"/>
          <w:sz w:val="32"/>
          <w:szCs w:val="32"/>
          <w:shd w:val="clear" w:color="auto" w:fill="auto"/>
          <w:lang w:eastAsia="zh-CN"/>
        </w:rPr>
        <w:t>有合法所有权的文物建筑</w:t>
      </w:r>
      <w:r>
        <w:rPr>
          <w:rFonts w:hint="eastAsia" w:ascii="仿宋_GB2312" w:hAnsi="仿宋_GB2312" w:eastAsia="仿宋_GB2312" w:cs="仿宋_GB2312"/>
          <w:color w:val="auto"/>
          <w:sz w:val="32"/>
          <w:szCs w:val="32"/>
          <w:shd w:val="clear" w:color="auto" w:fill="auto"/>
        </w:rPr>
        <w:t>的补偿</w:t>
      </w:r>
      <w:r>
        <w:rPr>
          <w:rFonts w:hint="eastAsia" w:ascii="仿宋_GB2312" w:hAnsi="仿宋_GB2312" w:eastAsia="仿宋_GB2312" w:cs="仿宋_GB2312"/>
          <w:color w:val="auto"/>
          <w:sz w:val="32"/>
          <w:szCs w:val="32"/>
          <w:shd w:val="clear" w:color="auto" w:fill="auto"/>
          <w:lang w:eastAsia="zh-CN"/>
        </w:rPr>
        <w:t>与置换</w:t>
      </w:r>
      <w:r>
        <w:rPr>
          <w:rFonts w:hint="eastAsia" w:ascii="仿宋_GB2312" w:hAnsi="仿宋_GB2312" w:eastAsia="仿宋_GB2312" w:cs="仿宋_GB2312"/>
          <w:color w:val="auto"/>
          <w:sz w:val="32"/>
          <w:szCs w:val="32"/>
          <w:shd w:val="clear" w:color="auto" w:fill="auto"/>
        </w:rPr>
        <w:t>，以及对依法流转</w:t>
      </w:r>
      <w:r>
        <w:rPr>
          <w:rFonts w:hint="eastAsia" w:ascii="仿宋_GB2312" w:hAnsi="仿宋_GB2312" w:eastAsia="仿宋_GB2312" w:cs="仿宋_GB2312"/>
          <w:color w:val="auto"/>
          <w:sz w:val="32"/>
          <w:szCs w:val="32"/>
          <w:shd w:val="clear" w:color="auto" w:fill="auto"/>
          <w:lang w:eastAsia="zh-CN"/>
        </w:rPr>
        <w:t>的文物建筑</w:t>
      </w:r>
      <w:r>
        <w:rPr>
          <w:rFonts w:hint="eastAsia" w:ascii="仿宋_GB2312" w:hAnsi="仿宋_GB2312" w:eastAsia="仿宋_GB2312" w:cs="仿宋_GB2312"/>
          <w:color w:val="auto"/>
          <w:sz w:val="32"/>
          <w:szCs w:val="32"/>
          <w:shd w:val="clear" w:color="auto" w:fill="auto"/>
        </w:rPr>
        <w:t>使用权的奖励。</w:t>
      </w:r>
    </w:p>
    <w:p>
      <w:pPr>
        <w:keepNext w:val="0"/>
        <w:keepLines w:val="0"/>
        <w:pageBreakBefore w:val="0"/>
        <w:numPr>
          <w:ilvl w:val="0"/>
          <w:numId w:val="0"/>
        </w:numPr>
        <w:kinsoku/>
        <w:wordWrap/>
        <w:overflowPunct/>
        <w:topLinePunct/>
        <w:autoSpaceDE/>
        <w:autoSpaceDN/>
        <w:bidi w:val="0"/>
        <w:adjustRightInd w:val="0"/>
        <w:snapToGrid w:val="0"/>
        <w:spacing w:line="586" w:lineRule="exact"/>
        <w:ind w:firstLine="643" w:firstLineChars="200"/>
        <w:textAlignment w:val="auto"/>
        <w:outlineLvl w:val="9"/>
        <w:rPr>
          <w:rFonts w:hint="eastAsia" w:ascii="仿宋_GB2312" w:hAnsi="仿宋_GB2312" w:eastAsia="仿宋_GB2312" w:cs="仿宋_GB2312"/>
          <w:color w:val="auto"/>
          <w:sz w:val="32"/>
          <w:szCs w:val="32"/>
          <w:shd w:val="clear" w:color="auto" w:fill="auto"/>
          <w:lang w:val="en-US" w:eastAsia="zh-CN"/>
        </w:rPr>
      </w:pPr>
      <w:r>
        <w:rPr>
          <w:rFonts w:hint="eastAsia" w:ascii="仿宋_GB2312" w:hAnsi="仿宋_GB2312" w:eastAsia="仿宋_GB2312" w:cs="仿宋_GB2312"/>
          <w:b/>
          <w:bCs/>
          <w:color w:val="auto"/>
          <w:sz w:val="32"/>
          <w:szCs w:val="32"/>
          <w:shd w:val="clear" w:color="auto" w:fill="auto"/>
          <w:lang w:val="en-US" w:eastAsia="zh-CN"/>
        </w:rPr>
        <w:t>第四条</w:t>
      </w:r>
      <w:r>
        <w:rPr>
          <w:rFonts w:hint="eastAsia" w:ascii="仿宋_GB2312" w:hAnsi="仿宋_GB2312" w:eastAsia="仿宋_GB2312" w:cs="仿宋_GB2312"/>
          <w:color w:val="auto"/>
          <w:sz w:val="32"/>
          <w:szCs w:val="32"/>
          <w:shd w:val="clear" w:color="auto" w:fill="auto"/>
          <w:lang w:val="en-US" w:eastAsia="zh-CN"/>
        </w:rPr>
        <w:t xml:space="preserve">  鼓励文物建筑所有权人将所拥有的文物建筑产权捐赠给政府，县人民政府颁发捐赠证书并予以适当奖励。</w:t>
      </w:r>
    </w:p>
    <w:p>
      <w:pPr>
        <w:keepNext w:val="0"/>
        <w:keepLines w:val="0"/>
        <w:pageBreakBefore w:val="0"/>
        <w:numPr>
          <w:ilvl w:val="0"/>
          <w:numId w:val="0"/>
        </w:numPr>
        <w:kinsoku/>
        <w:wordWrap/>
        <w:overflowPunct/>
        <w:topLinePunct/>
        <w:autoSpaceDE/>
        <w:autoSpaceDN/>
        <w:bidi w:val="0"/>
        <w:adjustRightInd w:val="0"/>
        <w:snapToGrid w:val="0"/>
        <w:spacing w:line="586" w:lineRule="exact"/>
        <w:ind w:firstLine="643" w:firstLineChars="200"/>
        <w:textAlignment w:val="auto"/>
        <w:outlineLvl w:val="9"/>
        <w:rPr>
          <w:rFonts w:hint="eastAsia" w:ascii="仿宋_GB2312" w:hAnsi="仿宋_GB2312" w:eastAsia="仿宋_GB2312" w:cs="仿宋_GB2312"/>
          <w:color w:val="auto"/>
          <w:sz w:val="32"/>
          <w:szCs w:val="32"/>
          <w:shd w:val="clear" w:color="auto" w:fill="auto"/>
          <w:lang w:val="en-US" w:eastAsia="zh-CN"/>
        </w:rPr>
      </w:pPr>
      <w:r>
        <w:rPr>
          <w:rFonts w:hint="eastAsia" w:ascii="仿宋_GB2312" w:hAnsi="仿宋_GB2312" w:eastAsia="仿宋_GB2312" w:cs="仿宋_GB2312"/>
          <w:b/>
          <w:bCs/>
          <w:color w:val="auto"/>
          <w:sz w:val="32"/>
          <w:szCs w:val="32"/>
          <w:shd w:val="clear" w:color="auto" w:fill="auto"/>
          <w:lang w:val="en-US" w:eastAsia="zh-CN"/>
        </w:rPr>
        <w:t>第五条</w:t>
      </w:r>
      <w:r>
        <w:rPr>
          <w:rFonts w:hint="eastAsia" w:ascii="仿宋_GB2312" w:hAnsi="仿宋_GB2312" w:eastAsia="仿宋_GB2312" w:cs="仿宋_GB2312"/>
          <w:color w:val="auto"/>
          <w:sz w:val="32"/>
          <w:szCs w:val="32"/>
          <w:shd w:val="clear" w:color="auto" w:fill="auto"/>
          <w:lang w:val="en-US" w:eastAsia="zh-CN"/>
        </w:rPr>
        <w:t xml:space="preserve">  文物保护单位公布前在文物保护范围和建设控制地带（以下简称“两线”范围）内已建成并有合法产权证明的</w:t>
      </w:r>
      <w:r>
        <w:rPr>
          <w:rFonts w:hint="eastAsia" w:ascii="仿宋_GB2312" w:hAnsi="仿宋_GB2312" w:eastAsia="仿宋_GB2312" w:cs="仿宋_GB2312"/>
          <w:color w:val="auto"/>
          <w:sz w:val="32"/>
          <w:szCs w:val="32"/>
          <w:shd w:val="clear" w:color="auto" w:fill="auto"/>
          <w:lang w:eastAsia="zh-CN"/>
        </w:rPr>
        <w:t>建筑物或附属物</w:t>
      </w:r>
      <w:r>
        <w:rPr>
          <w:rFonts w:hint="eastAsia" w:ascii="仿宋_GB2312" w:hAnsi="仿宋_GB2312" w:eastAsia="仿宋_GB2312" w:cs="仿宋_GB2312"/>
          <w:color w:val="auto"/>
          <w:sz w:val="32"/>
          <w:szCs w:val="32"/>
          <w:shd w:val="clear" w:color="auto" w:fill="auto"/>
          <w:lang w:val="en-US" w:eastAsia="zh-CN"/>
        </w:rPr>
        <w:t>、文物保护单位公布后在“两线”范围内建成并经公布该处文物保护单位的人民政府和相应文物行政部门批准同意后拥有合法产权证明的</w:t>
      </w:r>
      <w:r>
        <w:rPr>
          <w:rFonts w:hint="eastAsia" w:ascii="仿宋_GB2312" w:hAnsi="仿宋_GB2312" w:eastAsia="仿宋_GB2312" w:cs="仿宋_GB2312"/>
          <w:color w:val="auto"/>
          <w:sz w:val="32"/>
          <w:szCs w:val="32"/>
          <w:shd w:val="clear" w:color="auto" w:fill="auto"/>
          <w:lang w:eastAsia="zh-CN"/>
        </w:rPr>
        <w:t>建筑物或附属物</w:t>
      </w:r>
      <w:r>
        <w:rPr>
          <w:rFonts w:hint="eastAsia" w:ascii="仿宋_GB2312" w:hAnsi="仿宋_GB2312" w:eastAsia="仿宋_GB2312" w:cs="仿宋_GB2312"/>
          <w:color w:val="auto"/>
          <w:sz w:val="32"/>
          <w:szCs w:val="32"/>
          <w:shd w:val="clear" w:color="auto" w:fill="auto"/>
          <w:lang w:val="en-US" w:eastAsia="zh-CN"/>
        </w:rPr>
        <w:t>，因影响文物保护单位历史风貌需要拆除的，参照本办法实施。</w:t>
      </w:r>
    </w:p>
    <w:p>
      <w:pPr>
        <w:keepNext w:val="0"/>
        <w:keepLines w:val="0"/>
        <w:pageBreakBefore w:val="0"/>
        <w:kinsoku/>
        <w:wordWrap/>
        <w:overflowPunct/>
        <w:topLinePunct/>
        <w:autoSpaceDE/>
        <w:autoSpaceDN/>
        <w:bidi w:val="0"/>
        <w:adjustRightInd w:val="0"/>
        <w:snapToGrid w:val="0"/>
        <w:spacing w:line="586" w:lineRule="exact"/>
        <w:ind w:firstLine="643" w:firstLineChars="200"/>
        <w:textAlignment w:val="auto"/>
        <w:outlineLvl w:val="9"/>
        <w:rPr>
          <w:rFonts w:hint="eastAsia" w:ascii="仿宋_GB2312" w:hAnsi="仿宋_GB2312" w:eastAsia="仿宋_GB2312" w:cs="仿宋_GB2312"/>
          <w:color w:val="auto"/>
          <w:sz w:val="32"/>
          <w:szCs w:val="32"/>
          <w:shd w:val="clear" w:color="auto" w:fill="auto"/>
          <w:lang w:eastAsia="zh-CN"/>
        </w:rPr>
      </w:pPr>
      <w:r>
        <w:rPr>
          <w:rFonts w:hint="eastAsia" w:ascii="仿宋_GB2312" w:hAnsi="仿宋_GB2312" w:eastAsia="仿宋_GB2312" w:cs="仿宋_GB2312"/>
          <w:b/>
          <w:bCs/>
          <w:color w:val="auto"/>
          <w:sz w:val="32"/>
          <w:szCs w:val="32"/>
          <w:shd w:val="clear" w:color="auto" w:fill="auto"/>
          <w:lang w:eastAsia="zh-CN"/>
        </w:rPr>
        <w:t>第六条</w:t>
      </w:r>
      <w:r>
        <w:rPr>
          <w:rFonts w:hint="eastAsia" w:ascii="仿宋_GB2312" w:hAnsi="仿宋_GB2312" w:eastAsia="仿宋_GB2312" w:cs="仿宋_GB2312"/>
          <w:b/>
          <w:bCs/>
          <w:color w:val="auto"/>
          <w:sz w:val="32"/>
          <w:szCs w:val="32"/>
          <w:shd w:val="clear" w:color="auto" w:fill="auto"/>
          <w:lang w:val="en-US" w:eastAsia="zh-CN"/>
        </w:rPr>
        <w:t xml:space="preserve">  </w:t>
      </w:r>
      <w:r>
        <w:rPr>
          <w:rFonts w:hint="eastAsia" w:ascii="仿宋_GB2312" w:hAnsi="仿宋_GB2312" w:eastAsia="仿宋_GB2312" w:cs="仿宋_GB2312"/>
          <w:color w:val="auto"/>
          <w:sz w:val="32"/>
          <w:szCs w:val="32"/>
          <w:shd w:val="clear" w:color="auto" w:fill="auto"/>
        </w:rPr>
        <w:t>被</w:t>
      </w:r>
      <w:r>
        <w:rPr>
          <w:rFonts w:hint="eastAsia" w:ascii="仿宋_GB2312" w:hAnsi="仿宋_GB2312" w:eastAsia="仿宋_GB2312" w:cs="仿宋_GB2312"/>
          <w:color w:val="auto"/>
          <w:sz w:val="32"/>
          <w:szCs w:val="32"/>
          <w:shd w:val="clear" w:color="auto" w:fill="auto"/>
          <w:lang w:eastAsia="zh-CN"/>
        </w:rPr>
        <w:t>收购文物建筑</w:t>
      </w:r>
      <w:r>
        <w:rPr>
          <w:rFonts w:hint="eastAsia" w:ascii="仿宋_GB2312" w:hAnsi="仿宋_GB2312" w:eastAsia="仿宋_GB2312" w:cs="仿宋_GB2312"/>
          <w:color w:val="auto"/>
          <w:sz w:val="32"/>
          <w:szCs w:val="32"/>
          <w:shd w:val="clear" w:color="auto" w:fill="auto"/>
        </w:rPr>
        <w:t>所有权人</w:t>
      </w:r>
      <w:r>
        <w:rPr>
          <w:rFonts w:hint="eastAsia" w:ascii="仿宋_GB2312" w:hAnsi="仿宋_GB2312" w:eastAsia="仿宋_GB2312" w:cs="仿宋_GB2312"/>
          <w:color w:val="auto"/>
          <w:sz w:val="32"/>
          <w:szCs w:val="32"/>
          <w:shd w:val="clear" w:color="auto" w:fill="auto"/>
          <w:lang w:eastAsia="zh-CN"/>
        </w:rPr>
        <w:t>为</w:t>
      </w:r>
      <w:r>
        <w:rPr>
          <w:rFonts w:hint="eastAsia" w:ascii="仿宋_GB2312" w:hAnsi="仿宋_GB2312" w:eastAsia="仿宋_GB2312" w:cs="仿宋_GB2312"/>
          <w:color w:val="auto"/>
          <w:sz w:val="32"/>
          <w:szCs w:val="32"/>
          <w:shd w:val="clear" w:color="auto" w:fill="auto"/>
        </w:rPr>
        <w:t>农业户口</w:t>
      </w:r>
      <w:r>
        <w:rPr>
          <w:rFonts w:hint="eastAsia" w:ascii="仿宋_GB2312" w:hAnsi="仿宋_GB2312" w:eastAsia="仿宋_GB2312" w:cs="仿宋_GB2312"/>
          <w:color w:val="auto"/>
          <w:sz w:val="32"/>
          <w:szCs w:val="32"/>
          <w:shd w:val="clear" w:color="auto" w:fill="auto"/>
          <w:lang w:eastAsia="zh-CN"/>
        </w:rPr>
        <w:t>，</w:t>
      </w:r>
      <w:r>
        <w:rPr>
          <w:rFonts w:hint="eastAsia" w:ascii="仿宋_GB2312" w:hAnsi="仿宋_GB2312" w:eastAsia="仿宋_GB2312" w:cs="仿宋_GB2312"/>
          <w:color w:val="auto"/>
          <w:sz w:val="32"/>
          <w:szCs w:val="32"/>
          <w:shd w:val="clear" w:color="auto" w:fill="auto"/>
        </w:rPr>
        <w:t>已按政策规定</w:t>
      </w:r>
      <w:r>
        <w:rPr>
          <w:rFonts w:hint="eastAsia" w:ascii="仿宋_GB2312" w:hAnsi="仿宋_GB2312" w:eastAsia="仿宋_GB2312" w:cs="仿宋_GB2312"/>
          <w:color w:val="auto"/>
          <w:sz w:val="32"/>
          <w:szCs w:val="32"/>
          <w:shd w:val="clear" w:color="auto" w:fill="auto"/>
          <w:lang w:eastAsia="zh-CN"/>
        </w:rPr>
        <w:t>予以</w:t>
      </w:r>
      <w:r>
        <w:rPr>
          <w:rFonts w:hint="eastAsia" w:ascii="仿宋_GB2312" w:hAnsi="仿宋_GB2312" w:eastAsia="仿宋_GB2312" w:cs="仿宋_GB2312"/>
          <w:color w:val="auto"/>
          <w:sz w:val="32"/>
          <w:szCs w:val="32"/>
          <w:shd w:val="clear" w:color="auto" w:fill="auto"/>
        </w:rPr>
        <w:t>安置补偿</w:t>
      </w:r>
      <w:r>
        <w:rPr>
          <w:rFonts w:hint="eastAsia" w:ascii="仿宋_GB2312" w:hAnsi="仿宋_GB2312" w:eastAsia="仿宋_GB2312" w:cs="仿宋_GB2312"/>
          <w:color w:val="auto"/>
          <w:sz w:val="32"/>
          <w:szCs w:val="32"/>
          <w:shd w:val="clear" w:color="auto" w:fill="auto"/>
          <w:lang w:eastAsia="zh-CN"/>
        </w:rPr>
        <w:t>或另有自建房的</w:t>
      </w:r>
      <w:r>
        <w:rPr>
          <w:rFonts w:hint="eastAsia" w:ascii="仿宋_GB2312" w:hAnsi="仿宋_GB2312" w:eastAsia="仿宋_GB2312" w:cs="仿宋_GB2312"/>
          <w:color w:val="auto"/>
          <w:sz w:val="32"/>
          <w:szCs w:val="32"/>
          <w:shd w:val="clear" w:color="auto" w:fill="auto"/>
        </w:rPr>
        <w:t>，不</w:t>
      </w:r>
      <w:r>
        <w:rPr>
          <w:rFonts w:hint="eastAsia" w:ascii="仿宋_GB2312" w:hAnsi="仿宋_GB2312" w:eastAsia="仿宋_GB2312" w:cs="仿宋_GB2312"/>
          <w:color w:val="auto"/>
          <w:sz w:val="32"/>
          <w:szCs w:val="32"/>
          <w:shd w:val="clear" w:color="auto" w:fill="auto"/>
          <w:lang w:eastAsia="zh-CN"/>
        </w:rPr>
        <w:t>重复</w:t>
      </w:r>
      <w:r>
        <w:rPr>
          <w:rFonts w:hint="eastAsia" w:ascii="仿宋_GB2312" w:hAnsi="仿宋_GB2312" w:eastAsia="仿宋_GB2312" w:cs="仿宋_GB2312"/>
          <w:color w:val="auto"/>
          <w:sz w:val="32"/>
          <w:szCs w:val="32"/>
          <w:shd w:val="clear" w:color="auto" w:fill="auto"/>
        </w:rPr>
        <w:t>享受</w:t>
      </w:r>
      <w:r>
        <w:rPr>
          <w:rFonts w:hint="eastAsia" w:ascii="仿宋_GB2312" w:hAnsi="仿宋_GB2312" w:eastAsia="仿宋_GB2312" w:cs="仿宋_GB2312"/>
          <w:color w:val="auto"/>
          <w:sz w:val="32"/>
          <w:szCs w:val="32"/>
          <w:shd w:val="clear" w:color="auto" w:fill="auto"/>
          <w:lang w:eastAsia="zh-CN"/>
        </w:rPr>
        <w:t>安置补偿，不享受宅基地补偿和</w:t>
      </w:r>
      <w:r>
        <w:rPr>
          <w:rFonts w:hint="eastAsia" w:ascii="仿宋_GB2312" w:hAnsi="仿宋_GB2312" w:eastAsia="仿宋_GB2312" w:cs="仿宋_GB2312"/>
          <w:color w:val="auto"/>
          <w:sz w:val="32"/>
          <w:szCs w:val="32"/>
          <w:shd w:val="clear" w:color="auto" w:fill="auto"/>
        </w:rPr>
        <w:t>农村</w:t>
      </w:r>
      <w:r>
        <w:rPr>
          <w:rFonts w:hint="eastAsia" w:ascii="仿宋_GB2312" w:hAnsi="仿宋_GB2312" w:eastAsia="仿宋_GB2312" w:cs="仿宋_GB2312"/>
          <w:color w:val="auto"/>
          <w:sz w:val="32"/>
          <w:szCs w:val="32"/>
          <w:shd w:val="clear" w:color="auto" w:fill="auto"/>
          <w:lang w:eastAsia="zh-CN"/>
        </w:rPr>
        <w:t>“一户一宅”</w:t>
      </w:r>
      <w:r>
        <w:rPr>
          <w:rFonts w:hint="eastAsia" w:ascii="仿宋_GB2312" w:hAnsi="仿宋_GB2312" w:eastAsia="仿宋_GB2312" w:cs="仿宋_GB2312"/>
          <w:color w:val="auto"/>
          <w:sz w:val="32"/>
          <w:szCs w:val="32"/>
          <w:shd w:val="clear" w:color="auto" w:fill="auto"/>
        </w:rPr>
        <w:t>的宅基地审批政策。</w:t>
      </w:r>
    </w:p>
    <w:p>
      <w:pPr>
        <w:pStyle w:val="6"/>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autoSpaceDE/>
        <w:autoSpaceDN/>
        <w:bidi w:val="0"/>
        <w:adjustRightInd w:val="0"/>
        <w:snapToGrid w:val="0"/>
        <w:spacing w:beforeAutospacing="0" w:afterAutospacing="0" w:line="586" w:lineRule="exact"/>
        <w:ind w:right="0" w:rightChars="0" w:firstLine="643" w:firstLineChars="200"/>
        <w:textAlignment w:val="auto"/>
        <w:outlineLvl w:val="9"/>
        <w:rPr>
          <w:rFonts w:hint="eastAsia" w:ascii="仿宋_GB2312" w:hAnsi="仿宋_GB2312" w:eastAsia="仿宋_GB2312" w:cs="仿宋_GB2312"/>
          <w:color w:val="auto"/>
          <w:sz w:val="32"/>
          <w:szCs w:val="32"/>
          <w:shd w:val="clear" w:color="auto" w:fill="auto"/>
          <w:lang w:eastAsia="zh-CN"/>
        </w:rPr>
      </w:pPr>
      <w:r>
        <w:rPr>
          <w:rFonts w:hint="eastAsia" w:ascii="仿宋_GB2312" w:hAnsi="仿宋_GB2312" w:eastAsia="仿宋_GB2312" w:cs="仿宋_GB2312"/>
          <w:b/>
          <w:bCs/>
          <w:color w:val="auto"/>
          <w:sz w:val="32"/>
          <w:szCs w:val="32"/>
          <w:shd w:val="clear" w:color="auto" w:fill="auto"/>
          <w:lang w:eastAsia="zh-CN"/>
        </w:rPr>
        <w:t>第七条</w:t>
      </w:r>
      <w:r>
        <w:rPr>
          <w:rFonts w:hint="eastAsia" w:ascii="仿宋_GB2312" w:hAnsi="仿宋_GB2312" w:eastAsia="仿宋_GB2312" w:cs="仿宋_GB2312"/>
          <w:color w:val="auto"/>
          <w:sz w:val="32"/>
          <w:szCs w:val="32"/>
          <w:shd w:val="clear" w:color="auto" w:fill="auto"/>
          <w:lang w:val="en-US" w:eastAsia="zh-CN"/>
        </w:rPr>
        <w:t xml:space="preserve">  </w:t>
      </w:r>
      <w:r>
        <w:rPr>
          <w:rFonts w:hint="eastAsia" w:ascii="仿宋_GB2312" w:hAnsi="仿宋_GB2312" w:eastAsia="仿宋_GB2312" w:cs="仿宋_GB2312"/>
          <w:color w:val="auto"/>
          <w:sz w:val="32"/>
          <w:szCs w:val="32"/>
          <w:shd w:val="clear" w:color="auto" w:fill="auto"/>
          <w:lang w:eastAsia="zh-CN"/>
        </w:rPr>
        <w:t>文物建筑</w:t>
      </w:r>
      <w:r>
        <w:rPr>
          <w:rFonts w:hint="eastAsia" w:ascii="仿宋_GB2312" w:hAnsi="仿宋_GB2312" w:eastAsia="仿宋_GB2312" w:cs="仿宋_GB2312"/>
          <w:color w:val="auto"/>
          <w:sz w:val="32"/>
          <w:szCs w:val="32"/>
          <w:shd w:val="clear" w:color="auto" w:fill="auto"/>
        </w:rPr>
        <w:t>的</w:t>
      </w:r>
      <w:r>
        <w:rPr>
          <w:rFonts w:hint="eastAsia" w:ascii="仿宋_GB2312" w:hAnsi="仿宋_GB2312" w:eastAsia="仿宋_GB2312" w:cs="仿宋_GB2312"/>
          <w:color w:val="auto"/>
          <w:sz w:val="32"/>
          <w:szCs w:val="32"/>
          <w:shd w:val="clear" w:color="auto" w:fill="auto"/>
          <w:lang w:eastAsia="zh-CN"/>
        </w:rPr>
        <w:t>所有人、使用人是文物安全直接责任人，</w:t>
      </w:r>
      <w:r>
        <w:rPr>
          <w:rFonts w:hint="eastAsia" w:ascii="仿宋_GB2312" w:hAnsi="仿宋_GB2312" w:eastAsia="仿宋_GB2312" w:cs="仿宋_GB2312"/>
          <w:color w:val="auto"/>
          <w:sz w:val="32"/>
          <w:szCs w:val="32"/>
          <w:shd w:val="clear" w:color="auto" w:fill="auto"/>
        </w:rPr>
        <w:t>必须遵守国家有关文物保护的法律、法规的规定</w:t>
      </w:r>
      <w:r>
        <w:rPr>
          <w:rFonts w:hint="eastAsia" w:ascii="仿宋_GB2312" w:hAnsi="仿宋_GB2312" w:eastAsia="仿宋_GB2312" w:cs="仿宋_GB2312"/>
          <w:color w:val="auto"/>
          <w:sz w:val="32"/>
          <w:szCs w:val="32"/>
          <w:shd w:val="clear" w:color="auto" w:fill="auto"/>
          <w:lang w:eastAsia="zh-CN"/>
        </w:rPr>
        <w:t>，按照“谁使用谁负责”的原则，承担保护修缮文物的义务，及时消除文物建筑存在的安全隐患。文物建筑</w:t>
      </w:r>
      <w:r>
        <w:rPr>
          <w:rFonts w:hint="eastAsia" w:ascii="仿宋_GB2312" w:hAnsi="仿宋_GB2312" w:eastAsia="仿宋_GB2312" w:cs="仿宋_GB2312"/>
          <w:color w:val="auto"/>
          <w:sz w:val="32"/>
          <w:szCs w:val="32"/>
          <w:shd w:val="clear" w:color="auto" w:fill="auto"/>
        </w:rPr>
        <w:t>因</w:t>
      </w:r>
      <w:r>
        <w:rPr>
          <w:rFonts w:hint="eastAsia" w:ascii="仿宋_GB2312" w:hAnsi="仿宋_GB2312" w:eastAsia="仿宋_GB2312" w:cs="仿宋_GB2312"/>
          <w:color w:val="auto"/>
          <w:sz w:val="32"/>
          <w:szCs w:val="32"/>
          <w:shd w:val="clear" w:color="auto" w:fill="auto"/>
          <w:lang w:eastAsia="zh-CN"/>
        </w:rPr>
        <w:t>所有人、</w:t>
      </w:r>
      <w:r>
        <w:rPr>
          <w:rFonts w:hint="eastAsia" w:ascii="仿宋_GB2312" w:hAnsi="仿宋_GB2312" w:eastAsia="仿宋_GB2312" w:cs="仿宋_GB2312"/>
          <w:color w:val="auto"/>
          <w:sz w:val="32"/>
          <w:szCs w:val="32"/>
          <w:shd w:val="clear" w:color="auto" w:fill="auto"/>
        </w:rPr>
        <w:t>使用人不当使用影响安全</w:t>
      </w:r>
      <w:r>
        <w:rPr>
          <w:rFonts w:hint="eastAsia" w:ascii="仿宋_GB2312" w:hAnsi="仿宋_GB2312" w:eastAsia="仿宋_GB2312" w:cs="仿宋_GB2312"/>
          <w:color w:val="auto"/>
          <w:sz w:val="32"/>
          <w:szCs w:val="32"/>
          <w:shd w:val="clear" w:color="auto" w:fill="auto"/>
          <w:lang w:eastAsia="zh-CN"/>
        </w:rPr>
        <w:t>的</w:t>
      </w:r>
      <w:r>
        <w:rPr>
          <w:rFonts w:hint="eastAsia" w:ascii="仿宋_GB2312" w:hAnsi="仿宋_GB2312" w:eastAsia="仿宋_GB2312" w:cs="仿宋_GB2312"/>
          <w:color w:val="auto"/>
          <w:sz w:val="32"/>
          <w:szCs w:val="32"/>
          <w:shd w:val="clear" w:color="auto" w:fill="auto"/>
        </w:rPr>
        <w:t>，文物行政部门</w:t>
      </w:r>
      <w:r>
        <w:rPr>
          <w:rFonts w:hint="eastAsia" w:ascii="仿宋_GB2312" w:hAnsi="仿宋_GB2312" w:eastAsia="仿宋_GB2312" w:cs="仿宋_GB2312"/>
          <w:color w:val="auto"/>
          <w:sz w:val="32"/>
          <w:szCs w:val="32"/>
          <w:shd w:val="clear" w:color="auto" w:fill="auto"/>
          <w:lang w:eastAsia="zh-CN"/>
        </w:rPr>
        <w:t>、应急管理部门、消防部门、属地乡镇人民政府（街道办事处）等有权</w:t>
      </w:r>
      <w:r>
        <w:rPr>
          <w:rFonts w:hint="eastAsia" w:ascii="仿宋_GB2312" w:hAnsi="仿宋_GB2312" w:eastAsia="仿宋_GB2312" w:cs="仿宋_GB2312"/>
          <w:color w:val="auto"/>
          <w:sz w:val="32"/>
          <w:szCs w:val="32"/>
          <w:shd w:val="clear" w:color="auto" w:fill="auto"/>
        </w:rPr>
        <w:t>责令其限期整改；逾期不整改的，由</w:t>
      </w:r>
      <w:r>
        <w:rPr>
          <w:rFonts w:hint="eastAsia" w:ascii="仿宋_GB2312" w:hAnsi="仿宋_GB2312" w:eastAsia="仿宋_GB2312" w:cs="仿宋_GB2312"/>
          <w:color w:val="auto"/>
          <w:sz w:val="32"/>
          <w:szCs w:val="32"/>
          <w:shd w:val="clear" w:color="auto" w:fill="auto"/>
          <w:lang w:eastAsia="zh-CN"/>
        </w:rPr>
        <w:t>相关</w:t>
      </w:r>
      <w:r>
        <w:rPr>
          <w:rFonts w:hint="eastAsia" w:ascii="仿宋_GB2312" w:hAnsi="仿宋_GB2312" w:eastAsia="仿宋_GB2312" w:cs="仿宋_GB2312"/>
          <w:color w:val="auto"/>
          <w:sz w:val="32"/>
          <w:szCs w:val="32"/>
          <w:shd w:val="clear" w:color="auto" w:fill="auto"/>
        </w:rPr>
        <w:t>执法部门采取相应措施，依法追究</w:t>
      </w:r>
      <w:r>
        <w:rPr>
          <w:rFonts w:hint="eastAsia" w:ascii="仿宋_GB2312" w:hAnsi="仿宋_GB2312" w:eastAsia="仿宋_GB2312" w:cs="仿宋_GB2312"/>
          <w:color w:val="auto"/>
          <w:sz w:val="32"/>
          <w:szCs w:val="32"/>
          <w:shd w:val="clear" w:color="auto" w:fill="auto"/>
          <w:lang w:eastAsia="zh-CN"/>
        </w:rPr>
        <w:t>法律</w:t>
      </w:r>
      <w:r>
        <w:rPr>
          <w:rFonts w:hint="eastAsia" w:ascii="仿宋_GB2312" w:hAnsi="仿宋_GB2312" w:eastAsia="仿宋_GB2312" w:cs="仿宋_GB2312"/>
          <w:color w:val="auto"/>
          <w:sz w:val="32"/>
          <w:szCs w:val="32"/>
          <w:shd w:val="clear" w:color="auto" w:fill="auto"/>
        </w:rPr>
        <w:t>责任</w:t>
      </w:r>
      <w:r>
        <w:rPr>
          <w:rFonts w:hint="eastAsia" w:ascii="仿宋_GB2312" w:hAnsi="仿宋_GB2312" w:eastAsia="仿宋_GB2312" w:cs="仿宋_GB2312"/>
          <w:color w:val="auto"/>
          <w:sz w:val="32"/>
          <w:szCs w:val="32"/>
          <w:shd w:val="clear" w:color="auto" w:fill="auto"/>
          <w:lang w:eastAsia="zh-CN"/>
        </w:rPr>
        <w:t>。</w:t>
      </w:r>
    </w:p>
    <w:p>
      <w:pPr>
        <w:keepNext w:val="0"/>
        <w:keepLines w:val="0"/>
        <w:pageBreakBefore w:val="0"/>
        <w:kinsoku/>
        <w:wordWrap/>
        <w:overflowPunct/>
        <w:topLinePunct/>
        <w:autoSpaceDE/>
        <w:autoSpaceDN/>
        <w:bidi w:val="0"/>
        <w:adjustRightInd w:val="0"/>
        <w:snapToGrid w:val="0"/>
        <w:spacing w:line="586" w:lineRule="exact"/>
        <w:ind w:firstLine="643" w:firstLineChars="200"/>
        <w:textAlignment w:val="auto"/>
        <w:outlineLvl w:val="9"/>
        <w:rPr>
          <w:rFonts w:hint="eastAsia" w:ascii="仿宋_GB2312" w:hAnsi="仿宋_GB2312" w:eastAsia="仿宋_GB2312" w:cs="仿宋_GB2312"/>
          <w:color w:val="auto"/>
          <w:sz w:val="32"/>
          <w:szCs w:val="32"/>
          <w:shd w:val="clear" w:color="auto" w:fill="auto"/>
        </w:rPr>
      </w:pPr>
      <w:r>
        <w:rPr>
          <w:rFonts w:hint="eastAsia" w:ascii="仿宋_GB2312" w:hAnsi="仿宋_GB2312" w:eastAsia="仿宋_GB2312" w:cs="仿宋_GB2312"/>
          <w:b/>
          <w:bCs/>
          <w:color w:val="auto"/>
          <w:sz w:val="32"/>
          <w:szCs w:val="32"/>
          <w:shd w:val="clear" w:color="auto" w:fill="auto"/>
          <w:lang w:eastAsia="zh-CN"/>
        </w:rPr>
        <w:t>第八条</w:t>
      </w:r>
      <w:r>
        <w:rPr>
          <w:rFonts w:hint="eastAsia" w:ascii="仿宋_GB2312" w:hAnsi="仿宋_GB2312" w:eastAsia="仿宋_GB2312" w:cs="仿宋_GB2312"/>
          <w:color w:val="auto"/>
          <w:sz w:val="32"/>
          <w:szCs w:val="32"/>
          <w:shd w:val="clear" w:color="auto" w:fill="auto"/>
          <w:lang w:val="en-US" w:eastAsia="zh-CN"/>
        </w:rPr>
        <w:t xml:space="preserve">  非国有文物建筑的所有人</w:t>
      </w:r>
      <w:r>
        <w:rPr>
          <w:rFonts w:hint="eastAsia" w:ascii="仿宋_GB2312" w:hAnsi="仿宋_GB2312" w:eastAsia="仿宋_GB2312" w:cs="仿宋_GB2312"/>
          <w:color w:val="auto"/>
          <w:sz w:val="32"/>
          <w:szCs w:val="32"/>
          <w:shd w:val="clear" w:color="auto" w:fill="auto"/>
          <w:lang w:eastAsia="zh-CN"/>
        </w:rPr>
        <w:t>自愿转让其所拥有的文物建筑产权，</w:t>
      </w:r>
      <w:r>
        <w:rPr>
          <w:rFonts w:hint="eastAsia" w:ascii="仿宋_GB2312" w:hAnsi="仿宋_GB2312" w:eastAsia="仿宋_GB2312" w:cs="仿宋_GB2312"/>
          <w:color w:val="auto"/>
          <w:sz w:val="32"/>
          <w:szCs w:val="32"/>
          <w:shd w:val="clear" w:color="auto" w:fill="auto"/>
        </w:rPr>
        <w:t>非国有</w:t>
      </w:r>
      <w:r>
        <w:rPr>
          <w:rFonts w:hint="eastAsia" w:ascii="仿宋_GB2312" w:hAnsi="仿宋_GB2312" w:eastAsia="仿宋_GB2312" w:cs="仿宋_GB2312"/>
          <w:color w:val="auto"/>
          <w:sz w:val="32"/>
          <w:szCs w:val="32"/>
          <w:shd w:val="clear" w:color="auto" w:fill="auto"/>
          <w:lang w:eastAsia="zh-CN"/>
        </w:rPr>
        <w:t>文物建筑因</w:t>
      </w:r>
      <w:r>
        <w:rPr>
          <w:rFonts w:hint="eastAsia" w:ascii="仿宋_GB2312" w:hAnsi="仿宋_GB2312" w:eastAsia="仿宋_GB2312" w:cs="仿宋_GB2312"/>
          <w:color w:val="auto"/>
          <w:sz w:val="32"/>
          <w:szCs w:val="32"/>
          <w:shd w:val="clear" w:color="auto" w:fill="auto"/>
        </w:rPr>
        <w:t>所有人、使用人</w:t>
      </w:r>
      <w:r>
        <w:rPr>
          <w:rFonts w:hint="eastAsia" w:ascii="仿宋_GB2312" w:hAnsi="仿宋_GB2312" w:eastAsia="仿宋_GB2312" w:cs="仿宋_GB2312"/>
          <w:color w:val="auto"/>
          <w:sz w:val="32"/>
          <w:szCs w:val="32"/>
          <w:shd w:val="clear" w:color="auto" w:fill="auto"/>
          <w:lang w:eastAsia="zh-CN"/>
        </w:rPr>
        <w:t>未履行</w:t>
      </w:r>
      <w:r>
        <w:rPr>
          <w:rFonts w:hint="eastAsia" w:ascii="仿宋_GB2312" w:hAnsi="仿宋_GB2312" w:eastAsia="仿宋_GB2312" w:cs="仿宋_GB2312"/>
          <w:color w:val="auto"/>
          <w:sz w:val="32"/>
          <w:szCs w:val="32"/>
          <w:shd w:val="clear" w:color="auto" w:fill="auto"/>
        </w:rPr>
        <w:t>保养修缮义务或</w:t>
      </w:r>
      <w:r>
        <w:rPr>
          <w:rFonts w:hint="eastAsia" w:ascii="仿宋_GB2312" w:hAnsi="仿宋_GB2312" w:eastAsia="仿宋_GB2312" w:cs="仿宋_GB2312"/>
          <w:color w:val="auto"/>
          <w:sz w:val="32"/>
          <w:szCs w:val="32"/>
          <w:shd w:val="clear" w:color="auto" w:fill="auto"/>
          <w:lang w:eastAsia="zh-CN"/>
        </w:rPr>
        <w:t>未及时消除文物安全隐患</w:t>
      </w:r>
      <w:r>
        <w:rPr>
          <w:rFonts w:hint="eastAsia" w:ascii="仿宋_GB2312" w:hAnsi="仿宋_GB2312" w:eastAsia="仿宋_GB2312" w:cs="仿宋_GB2312"/>
          <w:color w:val="auto"/>
          <w:sz w:val="32"/>
          <w:szCs w:val="32"/>
          <w:shd w:val="clear" w:color="auto" w:fill="auto"/>
        </w:rPr>
        <w:t>的，经县人民政府</w:t>
      </w:r>
      <w:r>
        <w:rPr>
          <w:rFonts w:hint="eastAsia" w:ascii="仿宋_GB2312" w:hAnsi="仿宋_GB2312" w:eastAsia="仿宋_GB2312" w:cs="仿宋_GB2312"/>
          <w:color w:val="auto"/>
          <w:sz w:val="32"/>
          <w:szCs w:val="32"/>
          <w:shd w:val="clear" w:color="auto" w:fill="auto"/>
          <w:lang w:eastAsia="zh-CN"/>
        </w:rPr>
        <w:t>同意，县文物行政部门、</w:t>
      </w:r>
      <w:r>
        <w:rPr>
          <w:rFonts w:hint="eastAsia" w:ascii="仿宋_GB2312" w:hAnsi="仿宋_GB2312" w:eastAsia="仿宋_GB2312" w:cs="仿宋_GB2312"/>
          <w:color w:val="auto"/>
          <w:sz w:val="32"/>
          <w:szCs w:val="32"/>
          <w:shd w:val="clear" w:color="auto" w:fill="auto"/>
        </w:rPr>
        <w:t>乡镇人民政府（街道办事处）</w:t>
      </w:r>
      <w:r>
        <w:rPr>
          <w:rFonts w:hint="eastAsia" w:ascii="仿宋_GB2312" w:hAnsi="仿宋_GB2312" w:eastAsia="仿宋_GB2312" w:cs="仿宋_GB2312"/>
          <w:color w:val="auto"/>
          <w:sz w:val="32"/>
          <w:szCs w:val="32"/>
          <w:shd w:val="clear" w:color="auto" w:fill="auto"/>
          <w:lang w:eastAsia="zh-CN"/>
        </w:rPr>
        <w:t>可以对非国有文物建筑</w:t>
      </w:r>
      <w:r>
        <w:rPr>
          <w:rFonts w:hint="eastAsia" w:ascii="仿宋_GB2312" w:hAnsi="仿宋_GB2312" w:eastAsia="仿宋_GB2312" w:cs="仿宋_GB2312"/>
          <w:color w:val="auto"/>
          <w:sz w:val="32"/>
          <w:szCs w:val="32"/>
          <w:shd w:val="clear" w:color="auto" w:fill="auto"/>
        </w:rPr>
        <w:t>进行</w:t>
      </w:r>
      <w:r>
        <w:rPr>
          <w:rFonts w:hint="eastAsia" w:ascii="仿宋_GB2312" w:hAnsi="仿宋_GB2312" w:eastAsia="仿宋_GB2312" w:cs="仿宋_GB2312"/>
          <w:color w:val="auto"/>
          <w:sz w:val="32"/>
          <w:szCs w:val="32"/>
          <w:shd w:val="clear" w:color="auto" w:fill="auto"/>
          <w:lang w:eastAsia="zh-CN"/>
        </w:rPr>
        <w:t>产权收</w:t>
      </w:r>
      <w:r>
        <w:rPr>
          <w:rFonts w:hint="eastAsia" w:ascii="仿宋_GB2312" w:hAnsi="仿宋_GB2312" w:eastAsia="仿宋_GB2312" w:cs="仿宋_GB2312"/>
          <w:color w:val="auto"/>
          <w:sz w:val="32"/>
          <w:szCs w:val="32"/>
          <w:shd w:val="clear" w:color="auto" w:fill="auto"/>
        </w:rPr>
        <w:t>购或置换。</w:t>
      </w:r>
    </w:p>
    <w:p>
      <w:pPr>
        <w:pStyle w:val="6"/>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autoSpaceDE/>
        <w:autoSpaceDN/>
        <w:bidi w:val="0"/>
        <w:adjustRightInd w:val="0"/>
        <w:snapToGrid w:val="0"/>
        <w:spacing w:beforeAutospacing="0" w:afterAutospacing="0" w:line="586" w:lineRule="exact"/>
        <w:ind w:right="0" w:rightChars="0"/>
        <w:jc w:val="center"/>
        <w:textAlignment w:val="auto"/>
        <w:outlineLvl w:val="9"/>
        <w:rPr>
          <w:rFonts w:hint="eastAsia" w:ascii="黑体" w:hAnsi="黑体" w:eastAsia="黑体" w:cs="黑体"/>
          <w:b w:val="0"/>
          <w:bCs w:val="0"/>
          <w:color w:val="auto"/>
          <w:sz w:val="32"/>
          <w:szCs w:val="32"/>
          <w:shd w:val="clear" w:color="auto" w:fill="auto"/>
          <w:lang w:eastAsia="zh-CN"/>
        </w:rPr>
      </w:pPr>
      <w:r>
        <w:rPr>
          <w:rFonts w:hint="eastAsia" w:ascii="黑体" w:hAnsi="黑体" w:eastAsia="黑体" w:cs="黑体"/>
          <w:b w:val="0"/>
          <w:bCs w:val="0"/>
          <w:color w:val="auto"/>
          <w:sz w:val="32"/>
          <w:szCs w:val="32"/>
          <w:shd w:val="clear" w:color="auto" w:fill="auto"/>
          <w:lang w:eastAsia="zh-CN"/>
        </w:rPr>
        <w:t>第二章</w:t>
      </w:r>
      <w:r>
        <w:rPr>
          <w:rFonts w:hint="eastAsia" w:ascii="黑体" w:hAnsi="黑体" w:eastAsia="黑体" w:cs="黑体"/>
          <w:b w:val="0"/>
          <w:bCs w:val="0"/>
          <w:color w:val="auto"/>
          <w:sz w:val="32"/>
          <w:szCs w:val="32"/>
          <w:shd w:val="clear" w:color="auto" w:fill="auto"/>
          <w:lang w:val="en-US" w:eastAsia="zh-CN"/>
        </w:rPr>
        <w:t xml:space="preserve">  文物建筑产权收购补偿安置</w:t>
      </w:r>
    </w:p>
    <w:p>
      <w:pPr>
        <w:pStyle w:val="6"/>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autoSpaceDE/>
        <w:autoSpaceDN/>
        <w:bidi w:val="0"/>
        <w:adjustRightInd w:val="0"/>
        <w:snapToGrid w:val="0"/>
        <w:spacing w:beforeAutospacing="0" w:afterAutospacing="0" w:line="586" w:lineRule="exact"/>
        <w:ind w:right="0" w:rightChars="0" w:firstLine="643" w:firstLineChars="200"/>
        <w:textAlignment w:val="auto"/>
        <w:outlineLvl w:val="9"/>
        <w:rPr>
          <w:rFonts w:hint="eastAsia" w:ascii="仿宋_GB2312" w:hAnsi="仿宋_GB2312" w:eastAsia="仿宋_GB2312" w:cs="仿宋_GB2312"/>
          <w:color w:val="auto"/>
          <w:sz w:val="32"/>
          <w:szCs w:val="32"/>
          <w:shd w:val="clear" w:color="auto" w:fill="auto"/>
        </w:rPr>
      </w:pPr>
      <w:r>
        <w:rPr>
          <w:rFonts w:hint="eastAsia" w:ascii="仿宋_GB2312" w:hAnsi="仿宋_GB2312" w:eastAsia="仿宋_GB2312" w:cs="仿宋_GB2312"/>
          <w:b/>
          <w:bCs/>
          <w:color w:val="auto"/>
          <w:sz w:val="32"/>
          <w:szCs w:val="32"/>
          <w:shd w:val="clear" w:color="auto" w:fill="auto"/>
          <w:lang w:eastAsia="zh-CN"/>
        </w:rPr>
        <w:t>第九条</w:t>
      </w:r>
      <w:r>
        <w:rPr>
          <w:rFonts w:hint="eastAsia" w:ascii="仿宋_GB2312" w:hAnsi="仿宋_GB2312" w:eastAsia="仿宋_GB2312" w:cs="仿宋_GB2312"/>
          <w:color w:val="auto"/>
          <w:sz w:val="32"/>
          <w:szCs w:val="32"/>
          <w:shd w:val="clear" w:color="auto" w:fill="auto"/>
          <w:lang w:val="en-US" w:eastAsia="zh-CN"/>
        </w:rPr>
        <w:t xml:space="preserve">  </w:t>
      </w:r>
      <w:r>
        <w:rPr>
          <w:rFonts w:hint="eastAsia" w:ascii="仿宋_GB2312" w:hAnsi="仿宋_GB2312" w:eastAsia="仿宋_GB2312" w:cs="仿宋_GB2312"/>
          <w:color w:val="auto"/>
          <w:sz w:val="32"/>
          <w:szCs w:val="32"/>
          <w:shd w:val="clear" w:color="auto" w:fill="auto"/>
        </w:rPr>
        <w:t>被</w:t>
      </w:r>
      <w:r>
        <w:rPr>
          <w:rFonts w:hint="eastAsia" w:ascii="仿宋_GB2312" w:hAnsi="仿宋_GB2312" w:eastAsia="仿宋_GB2312" w:cs="仿宋_GB2312"/>
          <w:color w:val="auto"/>
          <w:sz w:val="32"/>
          <w:szCs w:val="32"/>
          <w:shd w:val="clear" w:color="auto" w:fill="auto"/>
          <w:lang w:eastAsia="zh-CN"/>
        </w:rPr>
        <w:t>收购文物建筑</w:t>
      </w:r>
      <w:r>
        <w:rPr>
          <w:rFonts w:hint="eastAsia" w:ascii="仿宋_GB2312" w:hAnsi="仿宋_GB2312" w:eastAsia="仿宋_GB2312" w:cs="仿宋_GB2312"/>
          <w:color w:val="auto"/>
          <w:sz w:val="32"/>
          <w:szCs w:val="32"/>
          <w:shd w:val="clear" w:color="auto" w:fill="auto"/>
        </w:rPr>
        <w:t>实行货币补偿、宅基地置换安置</w:t>
      </w:r>
      <w:r>
        <w:rPr>
          <w:rFonts w:hint="eastAsia" w:ascii="仿宋_GB2312" w:hAnsi="仿宋_GB2312" w:eastAsia="仿宋_GB2312" w:cs="仿宋_GB2312"/>
          <w:color w:val="auto"/>
          <w:sz w:val="32"/>
          <w:szCs w:val="32"/>
          <w:shd w:val="clear" w:color="auto" w:fill="auto"/>
          <w:lang w:eastAsia="zh-CN"/>
        </w:rPr>
        <w:t>、闲置房置换安置、易地搬迁安置</w:t>
      </w:r>
      <w:r>
        <w:rPr>
          <w:rFonts w:hint="eastAsia" w:ascii="仿宋_GB2312" w:hAnsi="仿宋_GB2312" w:eastAsia="仿宋_GB2312" w:cs="仿宋_GB2312"/>
          <w:color w:val="auto"/>
          <w:sz w:val="32"/>
          <w:szCs w:val="32"/>
          <w:shd w:val="clear" w:color="auto" w:fill="auto"/>
          <w:lang w:val="en-US" w:eastAsia="zh-CN"/>
        </w:rPr>
        <w:t>4</w:t>
      </w:r>
      <w:r>
        <w:rPr>
          <w:rFonts w:hint="eastAsia" w:ascii="仿宋_GB2312" w:hAnsi="仿宋_GB2312" w:eastAsia="仿宋_GB2312" w:cs="仿宋_GB2312"/>
          <w:color w:val="auto"/>
          <w:sz w:val="32"/>
          <w:szCs w:val="32"/>
          <w:shd w:val="clear" w:color="auto" w:fill="auto"/>
        </w:rPr>
        <w:t>种</w:t>
      </w:r>
      <w:r>
        <w:rPr>
          <w:rFonts w:hint="eastAsia" w:ascii="仿宋_GB2312" w:hAnsi="仿宋_GB2312" w:eastAsia="仿宋_GB2312" w:cs="仿宋_GB2312"/>
          <w:color w:val="auto"/>
          <w:sz w:val="32"/>
          <w:szCs w:val="32"/>
          <w:shd w:val="clear" w:color="auto" w:fill="auto"/>
          <w:lang w:eastAsia="zh-CN"/>
        </w:rPr>
        <w:t>补偿安置</w:t>
      </w:r>
      <w:r>
        <w:rPr>
          <w:rFonts w:hint="eastAsia" w:ascii="仿宋_GB2312" w:hAnsi="仿宋_GB2312" w:eastAsia="仿宋_GB2312" w:cs="仿宋_GB2312"/>
          <w:color w:val="auto"/>
          <w:sz w:val="32"/>
          <w:szCs w:val="32"/>
          <w:shd w:val="clear" w:color="auto" w:fill="auto"/>
        </w:rPr>
        <w:t>方式，其中</w:t>
      </w:r>
      <w:r>
        <w:rPr>
          <w:rFonts w:hint="eastAsia" w:ascii="仿宋_GB2312" w:hAnsi="仿宋_GB2312" w:eastAsia="仿宋_GB2312" w:cs="仿宋_GB2312"/>
          <w:color w:val="auto"/>
          <w:sz w:val="32"/>
          <w:szCs w:val="32"/>
          <w:shd w:val="clear" w:color="auto" w:fill="auto"/>
          <w:lang w:eastAsia="zh-CN"/>
        </w:rPr>
        <w:t>宅基地安置、闲置房置换安置、易地搬迁安置</w:t>
      </w:r>
      <w:r>
        <w:rPr>
          <w:rFonts w:hint="eastAsia" w:ascii="仿宋_GB2312" w:hAnsi="仿宋_GB2312" w:eastAsia="仿宋_GB2312" w:cs="仿宋_GB2312"/>
          <w:color w:val="auto"/>
          <w:sz w:val="32"/>
          <w:szCs w:val="32"/>
          <w:shd w:val="clear" w:color="auto" w:fill="auto"/>
        </w:rPr>
        <w:t>仅限于</w:t>
      </w:r>
      <w:r>
        <w:rPr>
          <w:rFonts w:hint="eastAsia" w:ascii="仿宋_GB2312" w:hAnsi="仿宋_GB2312" w:eastAsia="仿宋_GB2312" w:cs="仿宋_GB2312"/>
          <w:color w:val="auto"/>
          <w:sz w:val="32"/>
          <w:szCs w:val="32"/>
          <w:shd w:val="clear" w:color="auto" w:fill="auto"/>
          <w:lang w:eastAsia="zh-CN"/>
        </w:rPr>
        <w:t>因文物建筑产权被收购后没有“一户一宅”的无房户</w:t>
      </w:r>
      <w:r>
        <w:rPr>
          <w:rFonts w:hint="eastAsia" w:ascii="仿宋_GB2312" w:hAnsi="仿宋_GB2312" w:eastAsia="仿宋_GB2312" w:cs="仿宋_GB2312"/>
          <w:color w:val="auto"/>
          <w:sz w:val="32"/>
          <w:szCs w:val="32"/>
          <w:shd w:val="clear" w:color="auto" w:fill="auto"/>
        </w:rPr>
        <w:t>。具体</w:t>
      </w:r>
      <w:r>
        <w:rPr>
          <w:rFonts w:hint="eastAsia" w:ascii="仿宋_GB2312" w:hAnsi="仿宋_GB2312" w:eastAsia="仿宋_GB2312" w:cs="仿宋_GB2312"/>
          <w:color w:val="auto"/>
          <w:sz w:val="32"/>
          <w:szCs w:val="32"/>
          <w:shd w:val="clear" w:color="auto" w:fill="auto"/>
          <w:lang w:eastAsia="zh-CN"/>
        </w:rPr>
        <w:t>由属</w:t>
      </w:r>
      <w:r>
        <w:rPr>
          <w:rFonts w:hint="eastAsia" w:ascii="仿宋_GB2312" w:hAnsi="仿宋_GB2312" w:eastAsia="仿宋_GB2312" w:cs="仿宋_GB2312"/>
          <w:color w:val="auto"/>
          <w:sz w:val="32"/>
          <w:szCs w:val="32"/>
          <w:shd w:val="clear" w:color="auto" w:fill="auto"/>
        </w:rPr>
        <w:t>地</w:t>
      </w:r>
      <w:r>
        <w:rPr>
          <w:rFonts w:hint="eastAsia" w:ascii="仿宋_GB2312" w:hAnsi="仿宋_GB2312" w:eastAsia="仿宋_GB2312" w:cs="仿宋_GB2312"/>
          <w:color w:val="auto"/>
          <w:sz w:val="32"/>
          <w:szCs w:val="32"/>
          <w:shd w:val="clear" w:color="auto" w:fill="auto"/>
          <w:lang w:eastAsia="zh-CN"/>
        </w:rPr>
        <w:t>乡镇人民政府（街道办事处）</w:t>
      </w:r>
      <w:r>
        <w:rPr>
          <w:rFonts w:hint="eastAsia" w:ascii="仿宋_GB2312" w:hAnsi="仿宋_GB2312" w:eastAsia="仿宋_GB2312" w:cs="仿宋_GB2312"/>
          <w:color w:val="auto"/>
          <w:sz w:val="32"/>
          <w:szCs w:val="32"/>
          <w:shd w:val="clear" w:color="auto" w:fill="auto"/>
        </w:rPr>
        <w:t>结合实际情况提供安置方式，</w:t>
      </w:r>
      <w:r>
        <w:rPr>
          <w:rFonts w:hint="eastAsia" w:ascii="仿宋_GB2312" w:hAnsi="仿宋_GB2312" w:eastAsia="仿宋_GB2312" w:cs="仿宋_GB2312"/>
          <w:color w:val="auto"/>
          <w:sz w:val="32"/>
          <w:szCs w:val="32"/>
          <w:shd w:val="clear" w:color="auto" w:fill="auto"/>
          <w:lang w:eastAsia="zh-CN"/>
        </w:rPr>
        <w:t>供</w:t>
      </w:r>
      <w:r>
        <w:rPr>
          <w:rFonts w:hint="eastAsia" w:ascii="仿宋_GB2312" w:hAnsi="仿宋_GB2312" w:eastAsia="仿宋_GB2312" w:cs="仿宋_GB2312"/>
          <w:color w:val="auto"/>
          <w:sz w:val="32"/>
          <w:szCs w:val="32"/>
          <w:shd w:val="clear" w:color="auto" w:fill="auto"/>
        </w:rPr>
        <w:t>被收</w:t>
      </w:r>
      <w:r>
        <w:rPr>
          <w:rFonts w:hint="eastAsia" w:ascii="仿宋_GB2312" w:hAnsi="仿宋_GB2312" w:eastAsia="仿宋_GB2312" w:cs="仿宋_GB2312"/>
          <w:color w:val="auto"/>
          <w:sz w:val="32"/>
          <w:szCs w:val="32"/>
          <w:shd w:val="clear" w:color="auto" w:fill="auto"/>
          <w:lang w:eastAsia="zh-CN"/>
        </w:rPr>
        <w:t>购</w:t>
      </w:r>
      <w:r>
        <w:rPr>
          <w:rFonts w:hint="eastAsia" w:ascii="仿宋_GB2312" w:hAnsi="仿宋_GB2312" w:eastAsia="仿宋_GB2312" w:cs="仿宋_GB2312"/>
          <w:color w:val="auto"/>
          <w:sz w:val="32"/>
          <w:szCs w:val="32"/>
          <w:shd w:val="clear" w:color="auto" w:fill="auto"/>
        </w:rPr>
        <w:t>人选择。</w:t>
      </w:r>
    </w:p>
    <w:p>
      <w:pPr>
        <w:keepNext w:val="0"/>
        <w:keepLines w:val="0"/>
        <w:pageBreakBefore w:val="0"/>
        <w:numPr>
          <w:ilvl w:val="0"/>
          <w:numId w:val="0"/>
        </w:numPr>
        <w:kinsoku/>
        <w:wordWrap/>
        <w:overflowPunct/>
        <w:topLinePunct/>
        <w:autoSpaceDE/>
        <w:autoSpaceDN/>
        <w:bidi w:val="0"/>
        <w:adjustRightInd w:val="0"/>
        <w:snapToGrid w:val="0"/>
        <w:spacing w:line="586" w:lineRule="exact"/>
        <w:ind w:firstLine="643" w:firstLineChars="200"/>
        <w:textAlignment w:val="auto"/>
        <w:outlineLvl w:val="9"/>
        <w:rPr>
          <w:rFonts w:hint="eastAsia" w:ascii="仿宋_GB2312" w:hAnsi="仿宋_GB2312" w:eastAsia="仿宋_GB2312" w:cs="仿宋_GB2312"/>
          <w:color w:val="auto"/>
          <w:sz w:val="32"/>
          <w:szCs w:val="32"/>
          <w:shd w:val="clear" w:color="auto" w:fill="auto"/>
          <w:lang w:val="en-US" w:eastAsia="zh-CN"/>
        </w:rPr>
      </w:pPr>
      <w:r>
        <w:rPr>
          <w:rFonts w:hint="eastAsia" w:ascii="仿宋_GB2312" w:hAnsi="仿宋_GB2312" w:eastAsia="仿宋_GB2312" w:cs="仿宋_GB2312"/>
          <w:b/>
          <w:bCs/>
          <w:color w:val="auto"/>
          <w:sz w:val="32"/>
          <w:szCs w:val="32"/>
          <w:shd w:val="clear" w:color="auto" w:fill="auto"/>
          <w:lang w:val="en-US" w:eastAsia="zh-CN"/>
        </w:rPr>
        <w:t>第十条</w:t>
      </w:r>
      <w:r>
        <w:rPr>
          <w:rFonts w:hint="eastAsia" w:ascii="仿宋_GB2312" w:hAnsi="仿宋_GB2312" w:eastAsia="仿宋_GB2312" w:cs="仿宋_GB2312"/>
          <w:color w:val="auto"/>
          <w:sz w:val="32"/>
          <w:szCs w:val="32"/>
          <w:shd w:val="clear" w:color="auto" w:fill="auto"/>
          <w:lang w:val="en-US" w:eastAsia="zh-CN"/>
        </w:rPr>
        <w:t xml:space="preserve">  补偿费用标准。</w:t>
      </w:r>
      <w:r>
        <w:rPr>
          <w:rFonts w:hint="eastAsia" w:ascii="仿宋_GB2312" w:hAnsi="仿宋_GB2312" w:eastAsia="仿宋_GB2312" w:cs="仿宋_GB2312"/>
          <w:color w:val="auto"/>
          <w:sz w:val="32"/>
          <w:szCs w:val="32"/>
          <w:shd w:val="clear" w:color="auto" w:fill="auto"/>
          <w:lang w:eastAsia="zh-CN"/>
        </w:rPr>
        <w:t>文物建筑产权收购货币补偿由建（构）筑物补偿和附属物</w:t>
      </w:r>
      <w:r>
        <w:rPr>
          <w:rFonts w:hint="eastAsia" w:ascii="仿宋_GB2312" w:hAnsi="仿宋_GB2312" w:eastAsia="仿宋_GB2312" w:cs="仿宋_GB2312"/>
          <w:color w:val="auto"/>
          <w:sz w:val="32"/>
          <w:szCs w:val="32"/>
          <w:shd w:val="clear" w:color="auto" w:fill="auto"/>
        </w:rPr>
        <w:t>补偿组成</w:t>
      </w:r>
      <w:r>
        <w:rPr>
          <w:rFonts w:hint="eastAsia" w:ascii="仿宋_GB2312" w:hAnsi="仿宋_GB2312" w:eastAsia="仿宋_GB2312" w:cs="仿宋_GB2312"/>
          <w:color w:val="auto"/>
          <w:sz w:val="32"/>
          <w:szCs w:val="32"/>
          <w:shd w:val="clear" w:color="auto" w:fill="auto"/>
          <w:lang w:eastAsia="zh-CN"/>
        </w:rPr>
        <w:t>，补偿金额由第三方评估机构根据补偿标准（见附件）确定。其中，自县人民政府批准或同意文物建筑产权收购之日前在文物建筑内长期居住（不少于</w:t>
      </w:r>
      <w:r>
        <w:rPr>
          <w:rFonts w:hint="eastAsia" w:ascii="仿宋_GB2312" w:hAnsi="仿宋_GB2312" w:eastAsia="仿宋_GB2312" w:cs="仿宋_GB2312"/>
          <w:color w:val="auto"/>
          <w:sz w:val="32"/>
          <w:szCs w:val="32"/>
          <w:shd w:val="clear" w:color="auto" w:fill="auto"/>
          <w:lang w:val="en-US" w:eastAsia="zh-CN"/>
        </w:rPr>
        <w:t>12个月）</w:t>
      </w:r>
      <w:r>
        <w:rPr>
          <w:rFonts w:hint="eastAsia" w:ascii="仿宋_GB2312" w:hAnsi="仿宋_GB2312" w:eastAsia="仿宋_GB2312" w:cs="仿宋_GB2312"/>
          <w:color w:val="auto"/>
          <w:sz w:val="32"/>
          <w:szCs w:val="32"/>
          <w:shd w:val="clear" w:color="auto" w:fill="auto"/>
          <w:lang w:eastAsia="zh-CN"/>
        </w:rPr>
        <w:t>且另无住房的被收购户，予以</w:t>
      </w:r>
      <w:r>
        <w:rPr>
          <w:rFonts w:hint="eastAsia" w:ascii="仿宋_GB2312" w:hAnsi="仿宋_GB2312" w:eastAsia="仿宋_GB2312" w:cs="仿宋_GB2312"/>
          <w:color w:val="auto"/>
          <w:sz w:val="32"/>
          <w:szCs w:val="32"/>
          <w:shd w:val="clear" w:color="auto" w:fill="auto"/>
        </w:rPr>
        <w:t>搬家</w:t>
      </w:r>
      <w:r>
        <w:rPr>
          <w:rFonts w:hint="eastAsia" w:ascii="仿宋_GB2312" w:hAnsi="仿宋_GB2312" w:eastAsia="仿宋_GB2312" w:cs="仿宋_GB2312"/>
          <w:color w:val="auto"/>
          <w:sz w:val="32"/>
          <w:szCs w:val="32"/>
          <w:shd w:val="clear" w:color="auto" w:fill="auto"/>
          <w:lang w:eastAsia="zh-CN"/>
        </w:rPr>
        <w:t>补助和临时安置补助。</w:t>
      </w:r>
    </w:p>
    <w:p>
      <w:pPr>
        <w:pStyle w:val="6"/>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autoSpaceDE/>
        <w:autoSpaceDN/>
        <w:bidi w:val="0"/>
        <w:adjustRightInd w:val="0"/>
        <w:snapToGrid w:val="0"/>
        <w:spacing w:beforeAutospacing="0" w:afterAutospacing="0" w:line="586" w:lineRule="exact"/>
        <w:ind w:right="0" w:rightChars="0" w:firstLine="643" w:firstLineChars="200"/>
        <w:textAlignment w:val="auto"/>
        <w:outlineLvl w:val="9"/>
        <w:rPr>
          <w:rFonts w:hint="eastAsia" w:ascii="仿宋_GB2312" w:hAnsi="仿宋_GB2312" w:eastAsia="仿宋_GB2312" w:cs="仿宋_GB2312"/>
          <w:color w:val="auto"/>
          <w:sz w:val="32"/>
          <w:szCs w:val="32"/>
          <w:shd w:val="clear" w:color="auto" w:fill="auto"/>
        </w:rPr>
      </w:pPr>
      <w:r>
        <w:rPr>
          <w:rFonts w:hint="eastAsia" w:ascii="仿宋_GB2312" w:hAnsi="仿宋_GB2312" w:eastAsia="仿宋_GB2312" w:cs="仿宋_GB2312"/>
          <w:b/>
          <w:bCs/>
          <w:color w:val="auto"/>
          <w:sz w:val="32"/>
          <w:szCs w:val="32"/>
          <w:shd w:val="clear" w:color="auto" w:fill="auto"/>
          <w:lang w:eastAsia="zh-CN"/>
        </w:rPr>
        <w:t>第十一条</w:t>
      </w:r>
      <w:r>
        <w:rPr>
          <w:rFonts w:hint="eastAsia" w:ascii="仿宋_GB2312" w:hAnsi="仿宋_GB2312" w:eastAsia="仿宋_GB2312" w:cs="仿宋_GB2312"/>
          <w:color w:val="auto"/>
          <w:sz w:val="32"/>
          <w:szCs w:val="32"/>
          <w:shd w:val="clear" w:color="auto" w:fill="auto"/>
          <w:lang w:val="en-US" w:eastAsia="zh-CN"/>
        </w:rPr>
        <w:t xml:space="preserve">  宅基地置换安置。</w:t>
      </w:r>
      <w:r>
        <w:rPr>
          <w:rFonts w:hint="eastAsia" w:ascii="仿宋_GB2312" w:hAnsi="仿宋_GB2312" w:eastAsia="仿宋_GB2312" w:cs="仿宋_GB2312"/>
          <w:color w:val="auto"/>
          <w:sz w:val="32"/>
          <w:szCs w:val="32"/>
          <w:shd w:val="clear" w:color="auto" w:fill="auto"/>
          <w:lang w:eastAsia="zh-CN"/>
        </w:rPr>
        <w:t>符合宅基地安置条件的被收购户，</w:t>
      </w:r>
      <w:r>
        <w:rPr>
          <w:rFonts w:hint="eastAsia" w:ascii="仿宋_GB2312" w:hAnsi="仿宋_GB2312" w:eastAsia="仿宋_GB2312" w:cs="仿宋_GB2312"/>
          <w:color w:val="auto"/>
          <w:sz w:val="32"/>
          <w:szCs w:val="32"/>
          <w:shd w:val="clear" w:color="auto" w:fill="auto"/>
        </w:rPr>
        <w:t>由属地</w:t>
      </w:r>
      <w:r>
        <w:rPr>
          <w:rFonts w:hint="eastAsia" w:ascii="仿宋_GB2312" w:hAnsi="仿宋_GB2312" w:eastAsia="仿宋_GB2312" w:cs="仿宋_GB2312"/>
          <w:color w:val="auto"/>
          <w:sz w:val="32"/>
          <w:szCs w:val="32"/>
          <w:shd w:val="clear" w:color="auto" w:fill="auto"/>
          <w:lang w:eastAsia="zh-CN"/>
        </w:rPr>
        <w:t>乡镇人民政府（街道办事处）</w:t>
      </w:r>
      <w:r>
        <w:rPr>
          <w:rFonts w:hint="eastAsia" w:ascii="仿宋_GB2312" w:hAnsi="仿宋_GB2312" w:eastAsia="仿宋_GB2312" w:cs="仿宋_GB2312"/>
          <w:color w:val="auto"/>
          <w:sz w:val="32"/>
          <w:szCs w:val="32"/>
          <w:shd w:val="clear" w:color="auto" w:fill="auto"/>
        </w:rPr>
        <w:t>、</w:t>
      </w:r>
      <w:r>
        <w:rPr>
          <w:rFonts w:hint="eastAsia" w:ascii="仿宋_GB2312" w:hAnsi="仿宋_GB2312" w:eastAsia="仿宋_GB2312" w:cs="仿宋_GB2312"/>
          <w:color w:val="auto"/>
          <w:sz w:val="32"/>
          <w:szCs w:val="32"/>
          <w:shd w:val="clear" w:color="auto" w:fill="auto"/>
          <w:lang w:eastAsia="zh-CN"/>
        </w:rPr>
        <w:t>村（社区）</w:t>
      </w:r>
      <w:r>
        <w:rPr>
          <w:rFonts w:hint="eastAsia" w:ascii="仿宋_GB2312" w:hAnsi="仿宋_GB2312" w:eastAsia="仿宋_GB2312" w:cs="仿宋_GB2312"/>
          <w:color w:val="auto"/>
          <w:sz w:val="32"/>
          <w:szCs w:val="32"/>
          <w:shd w:val="clear" w:color="auto" w:fill="auto"/>
        </w:rPr>
        <w:t>按照《中华人民共和国土地管理法》《农业农村部 自然资源部关于规范农村宅基地审批管理的通知》《湖南省农村住房建设管理办法》</w:t>
      </w:r>
      <w:r>
        <w:rPr>
          <w:rFonts w:hint="eastAsia" w:ascii="仿宋_GB2312" w:hAnsi="仿宋_GB2312" w:eastAsia="仿宋_GB2312" w:cs="仿宋_GB2312"/>
          <w:color w:val="auto"/>
          <w:sz w:val="32"/>
          <w:szCs w:val="32"/>
          <w:shd w:val="clear" w:color="auto" w:fill="auto"/>
          <w:lang w:eastAsia="zh-CN"/>
        </w:rPr>
        <w:t>和邵阳市、隆回县关于农村建房与宅基地管理</w:t>
      </w:r>
      <w:r>
        <w:rPr>
          <w:rFonts w:hint="eastAsia" w:ascii="仿宋_GB2312" w:hAnsi="仿宋_GB2312" w:eastAsia="仿宋_GB2312" w:cs="仿宋_GB2312"/>
          <w:color w:val="auto"/>
          <w:sz w:val="32"/>
          <w:szCs w:val="32"/>
          <w:shd w:val="clear" w:color="auto" w:fill="auto"/>
        </w:rPr>
        <w:t>等有关法律法规、政策文件要求</w:t>
      </w:r>
      <w:r>
        <w:rPr>
          <w:rFonts w:hint="eastAsia" w:ascii="仿宋_GB2312" w:hAnsi="仿宋_GB2312" w:eastAsia="仿宋_GB2312" w:cs="仿宋_GB2312"/>
          <w:color w:val="auto"/>
          <w:sz w:val="32"/>
          <w:szCs w:val="32"/>
          <w:shd w:val="clear" w:color="auto" w:fill="auto"/>
          <w:lang w:eastAsia="zh-CN"/>
        </w:rPr>
        <w:t>，另行选择宅基地并予以审批</w:t>
      </w:r>
      <w:r>
        <w:rPr>
          <w:rFonts w:hint="eastAsia" w:ascii="仿宋_GB2312" w:hAnsi="仿宋_GB2312" w:eastAsia="仿宋_GB2312" w:cs="仿宋_GB2312"/>
          <w:color w:val="auto"/>
          <w:sz w:val="32"/>
          <w:szCs w:val="32"/>
          <w:shd w:val="clear" w:color="auto" w:fill="auto"/>
        </w:rPr>
        <w:t>。</w:t>
      </w:r>
    </w:p>
    <w:p>
      <w:pPr>
        <w:keepNext w:val="0"/>
        <w:keepLines w:val="0"/>
        <w:pageBreakBefore w:val="0"/>
        <w:kinsoku/>
        <w:wordWrap/>
        <w:overflowPunct/>
        <w:topLinePunct/>
        <w:autoSpaceDE/>
        <w:autoSpaceDN/>
        <w:bidi w:val="0"/>
        <w:adjustRightInd w:val="0"/>
        <w:snapToGrid w:val="0"/>
        <w:spacing w:line="586" w:lineRule="exact"/>
        <w:ind w:firstLine="640" w:firstLineChars="200"/>
        <w:textAlignment w:val="auto"/>
        <w:outlineLvl w:val="9"/>
        <w:rPr>
          <w:rFonts w:hint="eastAsia" w:ascii="仿宋_GB2312" w:hAnsi="仿宋_GB2312" w:eastAsia="仿宋_GB2312" w:cs="仿宋_GB2312"/>
          <w:color w:val="auto"/>
          <w:sz w:val="32"/>
          <w:szCs w:val="32"/>
          <w:shd w:val="clear" w:color="auto" w:fill="auto"/>
        </w:rPr>
      </w:pPr>
      <w:r>
        <w:rPr>
          <w:rFonts w:hint="eastAsia" w:ascii="仿宋_GB2312" w:hAnsi="仿宋_GB2312" w:eastAsia="仿宋_GB2312" w:cs="仿宋_GB2312"/>
          <w:color w:val="auto"/>
          <w:sz w:val="32"/>
          <w:szCs w:val="32"/>
          <w:shd w:val="clear" w:color="auto" w:fill="auto"/>
        </w:rPr>
        <mc:AlternateContent>
          <mc:Choice Requires="wps">
            <w:drawing>
              <wp:anchor distT="0" distB="0" distL="0" distR="0" simplePos="0" relativeHeight="251659264" behindDoc="0" locked="0" layoutInCell="1" allowOverlap="1">
                <wp:simplePos x="0" y="0"/>
                <wp:positionH relativeFrom="page">
                  <wp:posOffset>6432550</wp:posOffset>
                </wp:positionH>
                <wp:positionV relativeFrom="paragraph">
                  <wp:posOffset>1778000</wp:posOffset>
                </wp:positionV>
                <wp:extent cx="276225" cy="209550"/>
                <wp:effectExtent l="0" t="0" r="0" b="0"/>
                <wp:wrapSquare wrapText="bothSides"/>
                <wp:docPr id="19" name="Shape 19"/>
                <wp:cNvGraphicFramePr/>
                <a:graphic xmlns:a="http://schemas.openxmlformats.org/drawingml/2006/main">
                  <a:graphicData uri="http://schemas.microsoft.com/office/word/2010/wordprocessingShape">
                    <wps:wsp>
                      <wps:cNvSpPr txBox="1"/>
                      <wps:spPr>
                        <a:xfrm>
                          <a:off x="0" y="0"/>
                          <a:ext cx="276225" cy="209550"/>
                        </a:xfrm>
                        <a:prstGeom prst="rect">
                          <a:avLst/>
                        </a:prstGeom>
                        <a:noFill/>
                      </wps:spPr>
                      <wps:txbx>
                        <w:txbxContent>
                          <w:p>
                            <w:pPr>
                              <w:pStyle w:val="12"/>
                              <w:keepNext w:val="0"/>
                              <w:keepLines w:val="0"/>
                              <w:widowControl w:val="0"/>
                              <w:shd w:val="clear" w:color="auto" w:fill="auto"/>
                              <w:bidi w:val="0"/>
                              <w:spacing w:before="0" w:after="0" w:line="240" w:lineRule="auto"/>
                              <w:ind w:left="0" w:right="0" w:firstLine="0"/>
                              <w:jc w:val="both"/>
                            </w:pPr>
                          </w:p>
                        </w:txbxContent>
                      </wps:txbx>
                      <wps:bodyPr wrap="none" lIns="0" tIns="0" rIns="0" bIns="0">
                        <a:noAutofit/>
                      </wps:bodyPr>
                    </wps:wsp>
                  </a:graphicData>
                </a:graphic>
              </wp:anchor>
            </w:drawing>
          </mc:Choice>
          <mc:Fallback>
            <w:pict>
              <v:shape id="Shape 19" o:spid="_x0000_s1026" o:spt="202" type="#_x0000_t202" style="position:absolute;left:0pt;margin-left:506.5pt;margin-top:140pt;height:16.5pt;width:21.75pt;mso-position-horizontal-relative:page;mso-wrap-distance-bottom:0pt;mso-wrap-distance-left:0pt;mso-wrap-distance-right:0pt;mso-wrap-distance-top:0pt;mso-wrap-style:none;z-index:251659264;mso-width-relative:page;mso-height-relative:page;" filled="f" stroked="f" coordsize="21600,21600" o:gfxdata="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BsNHJ91wAA&#10;AA0BAAAPAAAAAAAAAAEAIAAAACIAAABkcnMvZG93bnJldi54bWxQSwECFAAUAAAACACHTuJALx4r&#10;c60BAABxAwAADgAAAAAAAAABACAAAAAmAQAAZHJzL2Uyb0RvYy54bWxQSwUGAAAAAAYABgBZAQAA&#10;RQUAAAAA&#10;">
                <v:fill on="f" focussize="0,0"/>
                <v:stroke on="f"/>
                <v:imagedata o:title=""/>
                <o:lock v:ext="edit" aspectratio="f"/>
                <v:textbox inset="0mm,0mm,0mm,0mm">
                  <w:txbxContent>
                    <w:p>
                      <w:pPr>
                        <w:pStyle w:val="12"/>
                        <w:keepNext w:val="0"/>
                        <w:keepLines w:val="0"/>
                        <w:widowControl w:val="0"/>
                        <w:shd w:val="clear" w:color="auto" w:fill="auto"/>
                        <w:bidi w:val="0"/>
                        <w:spacing w:before="0" w:after="0" w:line="240" w:lineRule="auto"/>
                        <w:ind w:left="0" w:right="0" w:firstLine="0"/>
                        <w:jc w:val="both"/>
                      </w:pPr>
                    </w:p>
                  </w:txbxContent>
                </v:textbox>
                <w10:wrap type="square"/>
              </v:shape>
            </w:pict>
          </mc:Fallback>
        </mc:AlternateContent>
      </w:r>
      <w:r>
        <w:rPr>
          <w:rFonts w:hint="eastAsia" w:ascii="仿宋_GB2312" w:hAnsi="仿宋_GB2312" w:eastAsia="仿宋_GB2312" w:cs="仿宋_GB2312"/>
          <w:color w:val="auto"/>
          <w:sz w:val="32"/>
          <w:szCs w:val="32"/>
          <w:shd w:val="clear" w:color="auto" w:fill="auto"/>
          <w:lang w:eastAsia="zh-CN"/>
        </w:rPr>
        <w:t>（一）宅基地安置按照乡镇人民政府（街道办事处）</w:t>
      </w:r>
      <w:r>
        <w:rPr>
          <w:rFonts w:hint="eastAsia" w:ascii="仿宋_GB2312" w:hAnsi="仿宋_GB2312" w:eastAsia="仿宋_GB2312" w:cs="仿宋_GB2312"/>
          <w:color w:val="auto"/>
          <w:sz w:val="32"/>
          <w:szCs w:val="32"/>
          <w:shd w:val="clear" w:color="auto" w:fill="auto"/>
        </w:rPr>
        <w:t>总体规划要求</w:t>
      </w:r>
      <w:r>
        <w:rPr>
          <w:rFonts w:hint="eastAsia" w:ascii="仿宋_GB2312" w:hAnsi="仿宋_GB2312" w:eastAsia="仿宋_GB2312" w:cs="仿宋_GB2312"/>
          <w:color w:val="auto"/>
          <w:sz w:val="32"/>
          <w:szCs w:val="32"/>
          <w:shd w:val="clear" w:color="auto" w:fill="auto"/>
          <w:lang w:eastAsia="zh-CN"/>
        </w:rPr>
        <w:t>，</w:t>
      </w:r>
      <w:r>
        <w:rPr>
          <w:rFonts w:hint="eastAsia" w:ascii="仿宋_GB2312" w:hAnsi="仿宋_GB2312" w:eastAsia="仿宋_GB2312" w:cs="仿宋_GB2312"/>
          <w:color w:val="auto"/>
          <w:sz w:val="32"/>
          <w:szCs w:val="32"/>
          <w:shd w:val="clear" w:color="auto" w:fill="auto"/>
        </w:rPr>
        <w:t>以村或组为单位组织解决，尽量利用荒山、荒地、空</w:t>
      </w:r>
      <w:r>
        <w:rPr>
          <w:rFonts w:hint="eastAsia" w:ascii="仿宋_GB2312" w:hAnsi="仿宋_GB2312" w:eastAsia="仿宋_GB2312" w:cs="仿宋_GB2312"/>
          <w:color w:val="auto"/>
          <w:sz w:val="32"/>
          <w:szCs w:val="32"/>
          <w:shd w:val="clear" w:color="auto" w:fill="auto"/>
          <w:lang w:eastAsia="zh-CN"/>
        </w:rPr>
        <w:t>闲</w:t>
      </w:r>
      <w:r>
        <w:rPr>
          <w:rFonts w:hint="eastAsia" w:ascii="仿宋_GB2312" w:hAnsi="仿宋_GB2312" w:eastAsia="仿宋_GB2312" w:cs="仿宋_GB2312"/>
          <w:color w:val="auto"/>
          <w:sz w:val="32"/>
          <w:szCs w:val="32"/>
          <w:shd w:val="clear" w:color="auto" w:fill="auto"/>
        </w:rPr>
        <w:t>地。对符合个人建房条件的地块</w:t>
      </w:r>
      <w:r>
        <w:rPr>
          <w:rFonts w:hint="eastAsia" w:ascii="仿宋_GB2312" w:hAnsi="仿宋_GB2312" w:eastAsia="仿宋_GB2312" w:cs="仿宋_GB2312"/>
          <w:color w:val="auto"/>
          <w:sz w:val="32"/>
          <w:szCs w:val="32"/>
          <w:shd w:val="clear" w:color="auto" w:fill="auto"/>
          <w:lang w:eastAsia="zh-CN"/>
        </w:rPr>
        <w:t>审批宅基地，由所在乡镇人民政府（街道办事处）统一对置换的宅基地实施场地平整、通水、通电、通路（以下简称“三通一平”）。如被收购户自行选择宅基地并进行“三通一平”的，可以予以</w:t>
      </w:r>
      <w:r>
        <w:rPr>
          <w:rFonts w:hint="eastAsia" w:ascii="仿宋_GB2312" w:hAnsi="仿宋_GB2312" w:eastAsia="仿宋_GB2312" w:cs="仿宋_GB2312"/>
          <w:color w:val="auto"/>
          <w:sz w:val="32"/>
          <w:szCs w:val="32"/>
          <w:shd w:val="clear" w:color="auto" w:fill="auto"/>
          <w:lang w:val="en-US" w:eastAsia="zh-CN"/>
        </w:rPr>
        <w:t>货币补偿</w:t>
      </w:r>
      <w:r>
        <w:rPr>
          <w:rFonts w:hint="eastAsia" w:ascii="仿宋_GB2312" w:hAnsi="仿宋_GB2312" w:eastAsia="仿宋_GB2312" w:cs="仿宋_GB2312"/>
          <w:color w:val="auto"/>
          <w:sz w:val="32"/>
          <w:szCs w:val="32"/>
          <w:shd w:val="clear" w:color="auto" w:fill="auto"/>
        </w:rPr>
        <w:t>。</w:t>
      </w:r>
    </w:p>
    <w:p>
      <w:pPr>
        <w:keepNext w:val="0"/>
        <w:keepLines w:val="0"/>
        <w:pageBreakBefore w:val="0"/>
        <w:kinsoku/>
        <w:wordWrap/>
        <w:overflowPunct/>
        <w:topLinePunct/>
        <w:autoSpaceDE/>
        <w:autoSpaceDN/>
        <w:bidi w:val="0"/>
        <w:adjustRightInd w:val="0"/>
        <w:snapToGrid w:val="0"/>
        <w:spacing w:line="586" w:lineRule="exact"/>
        <w:ind w:firstLine="640" w:firstLineChars="200"/>
        <w:textAlignment w:val="auto"/>
        <w:outlineLvl w:val="9"/>
        <w:rPr>
          <w:rFonts w:hint="eastAsia"/>
          <w:color w:val="auto"/>
          <w:shd w:val="clear" w:color="auto" w:fill="auto"/>
          <w:lang w:eastAsia="zh-CN"/>
        </w:rPr>
      </w:pPr>
      <w:r>
        <w:rPr>
          <w:rFonts w:hint="eastAsia" w:ascii="仿宋_GB2312" w:hAnsi="仿宋_GB2312" w:eastAsia="仿宋_GB2312" w:cs="仿宋_GB2312"/>
          <w:color w:val="auto"/>
          <w:sz w:val="32"/>
          <w:szCs w:val="32"/>
          <w:shd w:val="clear" w:color="auto" w:fill="auto"/>
          <w:lang w:eastAsia="zh-CN"/>
        </w:rPr>
        <w:t>（二）置换</w:t>
      </w:r>
      <w:r>
        <w:rPr>
          <w:rFonts w:hint="eastAsia" w:ascii="仿宋_GB2312" w:hAnsi="仿宋_GB2312" w:eastAsia="仿宋_GB2312" w:cs="仿宋_GB2312"/>
          <w:color w:val="auto"/>
          <w:sz w:val="32"/>
          <w:szCs w:val="32"/>
          <w:shd w:val="clear" w:color="auto" w:fill="auto"/>
        </w:rPr>
        <w:t>宅基地的安排，</w:t>
      </w:r>
      <w:r>
        <w:rPr>
          <w:rFonts w:hint="eastAsia" w:ascii="仿宋_GB2312" w:hAnsi="仿宋_GB2312" w:eastAsia="仿宋_GB2312" w:cs="仿宋_GB2312"/>
          <w:color w:val="auto"/>
          <w:sz w:val="32"/>
          <w:szCs w:val="32"/>
          <w:shd w:val="clear" w:color="auto" w:fill="auto"/>
          <w:lang w:eastAsia="zh-CN"/>
        </w:rPr>
        <w:t>原则上</w:t>
      </w:r>
      <w:r>
        <w:rPr>
          <w:rFonts w:hint="eastAsia" w:ascii="仿宋_GB2312" w:hAnsi="仿宋_GB2312" w:eastAsia="仿宋_GB2312" w:cs="仿宋_GB2312"/>
          <w:color w:val="auto"/>
          <w:sz w:val="32"/>
          <w:szCs w:val="32"/>
          <w:shd w:val="clear" w:color="auto" w:fill="auto"/>
        </w:rPr>
        <w:t>坚持“迁一补一</w:t>
      </w:r>
      <w:r>
        <w:rPr>
          <w:rFonts w:hint="eastAsia" w:ascii="仿宋_GB2312" w:hAnsi="仿宋_GB2312" w:eastAsia="仿宋_GB2312" w:cs="仿宋_GB2312"/>
          <w:color w:val="auto"/>
          <w:sz w:val="32"/>
          <w:szCs w:val="32"/>
          <w:shd w:val="clear" w:color="auto" w:fill="auto"/>
          <w:lang w:val="zh-CN" w:eastAsia="zh-CN"/>
        </w:rPr>
        <w:t>”的原</w:t>
      </w:r>
      <w:r>
        <w:rPr>
          <w:rFonts w:hint="eastAsia" w:ascii="仿宋_GB2312" w:hAnsi="仿宋_GB2312" w:eastAsia="仿宋_GB2312" w:cs="仿宋_GB2312"/>
          <w:color w:val="auto"/>
          <w:sz w:val="32"/>
          <w:szCs w:val="32"/>
          <w:shd w:val="clear" w:color="auto" w:fill="auto"/>
        </w:rPr>
        <w:t>则，</w:t>
      </w:r>
      <w:r>
        <w:rPr>
          <w:rFonts w:hint="eastAsia" w:ascii="仿宋_GB2312" w:hAnsi="仿宋_GB2312" w:eastAsia="仿宋_GB2312" w:cs="仿宋_GB2312"/>
          <w:color w:val="auto"/>
          <w:sz w:val="32"/>
          <w:szCs w:val="32"/>
          <w:shd w:val="clear" w:color="auto" w:fill="auto"/>
          <w:lang w:eastAsia="zh-CN"/>
        </w:rPr>
        <w:t>但须符合现行宅基地审批面积和相关政策规定。被收购</w:t>
      </w:r>
      <w:r>
        <w:rPr>
          <w:rFonts w:hint="eastAsia" w:ascii="仿宋_GB2312" w:hAnsi="仿宋_GB2312" w:eastAsia="仿宋_GB2312" w:cs="仿宋_GB2312"/>
          <w:color w:val="auto"/>
          <w:sz w:val="32"/>
          <w:szCs w:val="32"/>
          <w:shd w:val="clear" w:color="auto" w:fill="auto"/>
        </w:rPr>
        <w:t>户</w:t>
      </w:r>
      <w:r>
        <w:rPr>
          <w:rFonts w:hint="eastAsia" w:ascii="仿宋_GB2312" w:hAnsi="仿宋_GB2312" w:eastAsia="仿宋_GB2312" w:cs="仿宋_GB2312"/>
          <w:color w:val="auto"/>
          <w:sz w:val="32"/>
          <w:szCs w:val="32"/>
          <w:shd w:val="clear" w:color="auto" w:fill="auto"/>
          <w:lang w:eastAsia="zh-CN"/>
        </w:rPr>
        <w:t>在原文物建筑内占有的宅基地面积少于置换后宅基地审批面积的，</w:t>
      </w:r>
      <w:r>
        <w:rPr>
          <w:rFonts w:hint="eastAsia" w:ascii="仿宋_GB2312" w:hAnsi="仿宋_GB2312" w:eastAsia="仿宋_GB2312" w:cs="仿宋_GB2312"/>
          <w:color w:val="auto"/>
          <w:sz w:val="32"/>
          <w:szCs w:val="32"/>
          <w:shd w:val="clear" w:color="auto" w:fill="auto"/>
          <w:lang w:val="en-US" w:eastAsia="zh-CN"/>
        </w:rPr>
        <w:t>由被收购户自行承担增加面积的</w:t>
      </w:r>
      <w:r>
        <w:rPr>
          <w:rFonts w:hint="eastAsia" w:ascii="仿宋_GB2312" w:hAnsi="仿宋_GB2312" w:eastAsia="仿宋_GB2312" w:cs="仿宋_GB2312"/>
          <w:color w:val="auto"/>
          <w:sz w:val="32"/>
          <w:szCs w:val="32"/>
          <w:shd w:val="clear" w:color="auto" w:fill="auto"/>
          <w:lang w:eastAsia="zh-CN"/>
        </w:rPr>
        <w:t>“三通一平”费用。</w:t>
      </w:r>
    </w:p>
    <w:p>
      <w:pPr>
        <w:pStyle w:val="6"/>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autoSpaceDE/>
        <w:autoSpaceDN/>
        <w:bidi w:val="0"/>
        <w:adjustRightInd w:val="0"/>
        <w:snapToGrid w:val="0"/>
        <w:spacing w:beforeAutospacing="0" w:afterAutospacing="0" w:line="586" w:lineRule="exact"/>
        <w:ind w:right="0" w:rightChars="0" w:firstLine="643" w:firstLineChars="200"/>
        <w:textAlignment w:val="auto"/>
        <w:outlineLvl w:val="9"/>
        <w:rPr>
          <w:rFonts w:hint="eastAsia" w:ascii="仿宋_GB2312" w:hAnsi="仿宋_GB2312" w:eastAsia="仿宋_GB2312" w:cs="仿宋_GB2312"/>
          <w:color w:val="auto"/>
          <w:sz w:val="32"/>
          <w:szCs w:val="32"/>
          <w:shd w:val="clear" w:color="auto" w:fill="auto"/>
        </w:rPr>
      </w:pPr>
      <w:r>
        <w:rPr>
          <w:rFonts w:hint="eastAsia" w:ascii="仿宋_GB2312" w:hAnsi="仿宋_GB2312" w:eastAsia="仿宋_GB2312" w:cs="仿宋_GB2312"/>
          <w:b/>
          <w:bCs/>
          <w:color w:val="auto"/>
          <w:sz w:val="32"/>
          <w:szCs w:val="32"/>
          <w:shd w:val="clear" w:color="auto" w:fill="auto"/>
          <w:lang w:eastAsia="zh-CN"/>
        </w:rPr>
        <w:t>第十二条</w:t>
      </w:r>
      <w:r>
        <w:rPr>
          <w:rFonts w:hint="eastAsia" w:ascii="仿宋_GB2312" w:hAnsi="仿宋_GB2312" w:eastAsia="仿宋_GB2312" w:cs="仿宋_GB2312"/>
          <w:color w:val="auto"/>
          <w:sz w:val="32"/>
          <w:szCs w:val="32"/>
          <w:shd w:val="clear" w:color="auto" w:fill="auto"/>
          <w:lang w:val="en-US" w:eastAsia="zh-CN"/>
        </w:rPr>
        <w:t xml:space="preserve">  闲置房置换安置。被收购文物保护单位所在乡镇人民政府（街道办事处）、村（社区）、组有</w:t>
      </w:r>
      <w:r>
        <w:rPr>
          <w:rFonts w:hint="eastAsia" w:ascii="仿宋_GB2312" w:hAnsi="仿宋_GB2312" w:eastAsia="仿宋_GB2312" w:cs="仿宋_GB2312"/>
          <w:color w:val="auto"/>
          <w:sz w:val="32"/>
          <w:szCs w:val="32"/>
          <w:shd w:val="clear" w:color="auto" w:fill="auto"/>
          <w:lang w:eastAsia="zh-CN"/>
        </w:rPr>
        <w:t>闲置房的，对无“一户一宅”的被收购户，属地乡镇人民政府（街道办事处）、村（社区）、组征得被收购户和闲置房屋产权户同意，可以进行闲置房置换安置。由第三方评估机构对被收购人所有的文物建（构）筑物、附属物和闲置房屋的建（构）筑物、附属物进行价值评估，由属地乡镇（街道</w:t>
      </w:r>
      <w:r>
        <w:rPr>
          <w:rFonts w:hint="eastAsia" w:ascii="仿宋_GB2312" w:hAnsi="仿宋_GB2312" w:eastAsia="仿宋_GB2312" w:cs="仿宋_GB2312"/>
          <w:color w:val="auto"/>
          <w:sz w:val="32"/>
          <w:szCs w:val="32"/>
          <w:shd w:val="clear" w:color="auto" w:fill="auto"/>
          <w:lang w:val="en-US" w:eastAsia="zh-CN"/>
        </w:rPr>
        <w:t>)、</w:t>
      </w:r>
      <w:r>
        <w:rPr>
          <w:rFonts w:hint="eastAsia" w:ascii="仿宋_GB2312" w:hAnsi="仿宋_GB2312" w:eastAsia="仿宋_GB2312" w:cs="仿宋_GB2312"/>
          <w:color w:val="auto"/>
          <w:sz w:val="32"/>
          <w:szCs w:val="32"/>
          <w:shd w:val="clear" w:color="auto" w:fill="auto"/>
          <w:lang w:eastAsia="zh-CN"/>
        </w:rPr>
        <w:t>村（社区）做好房屋置换、土地置换和补偿等工作。</w:t>
      </w:r>
    </w:p>
    <w:p>
      <w:pPr>
        <w:keepNext w:val="0"/>
        <w:keepLines w:val="0"/>
        <w:pageBreakBefore w:val="0"/>
        <w:kinsoku/>
        <w:wordWrap/>
        <w:overflowPunct/>
        <w:topLinePunct/>
        <w:autoSpaceDE/>
        <w:autoSpaceDN/>
        <w:bidi w:val="0"/>
        <w:adjustRightInd w:val="0"/>
        <w:snapToGrid w:val="0"/>
        <w:spacing w:line="586" w:lineRule="exact"/>
        <w:ind w:firstLine="643" w:firstLineChars="200"/>
        <w:textAlignment w:val="auto"/>
        <w:outlineLvl w:val="9"/>
        <w:rPr>
          <w:rFonts w:hint="eastAsia" w:ascii="仿宋_GB2312" w:hAnsi="仿宋_GB2312" w:eastAsia="仿宋_GB2312" w:cs="仿宋_GB2312"/>
          <w:color w:val="auto"/>
          <w:sz w:val="32"/>
          <w:szCs w:val="32"/>
          <w:shd w:val="clear" w:color="auto" w:fill="auto"/>
        </w:rPr>
      </w:pPr>
      <w:r>
        <w:rPr>
          <w:rFonts w:hint="eastAsia" w:ascii="仿宋_GB2312" w:hAnsi="仿宋_GB2312" w:eastAsia="仿宋_GB2312" w:cs="仿宋_GB2312"/>
          <w:b/>
          <w:bCs/>
          <w:color w:val="auto"/>
          <w:sz w:val="32"/>
          <w:szCs w:val="32"/>
          <w:shd w:val="clear" w:color="auto" w:fill="auto"/>
          <w:lang w:val="en-US" w:eastAsia="zh-CN"/>
        </w:rPr>
        <w:t>第十三条</w:t>
      </w:r>
      <w:r>
        <w:rPr>
          <w:rFonts w:hint="eastAsia" w:ascii="仿宋_GB2312" w:hAnsi="仿宋_GB2312" w:eastAsia="仿宋_GB2312" w:cs="仿宋_GB2312"/>
          <w:color w:val="auto"/>
          <w:sz w:val="32"/>
          <w:szCs w:val="32"/>
          <w:shd w:val="clear" w:color="auto" w:fill="auto"/>
          <w:lang w:val="en-US" w:eastAsia="zh-CN"/>
        </w:rPr>
        <w:t xml:space="preserve">  易地搬迁安置。被收购文物保护单位所在乡镇人民政府（街道办事处）具备易地安置条件的，应当优先安置符合条件的文物保护单位内被收购文物建筑的住户，易地安置按照相应政策文件实施，已享受易地安置的住户不重复享受安置政策。</w:t>
      </w:r>
    </w:p>
    <w:p>
      <w:pPr>
        <w:pStyle w:val="3"/>
        <w:keepNext w:val="0"/>
        <w:keepLines w:val="0"/>
        <w:pageBreakBefore w:val="0"/>
        <w:kinsoku/>
        <w:wordWrap/>
        <w:overflowPunct/>
        <w:topLinePunct/>
        <w:autoSpaceDE/>
        <w:autoSpaceDN/>
        <w:bidi w:val="0"/>
        <w:adjustRightInd w:val="0"/>
        <w:snapToGrid w:val="0"/>
        <w:spacing w:line="586" w:lineRule="exact"/>
        <w:ind w:firstLine="643" w:firstLineChars="200"/>
        <w:textAlignment w:val="auto"/>
        <w:outlineLvl w:val="9"/>
        <w:rPr>
          <w:rFonts w:hint="eastAsia" w:ascii="仿宋_GB2312" w:hAnsi="仿宋_GB2312" w:eastAsia="仿宋_GB2312" w:cs="仿宋_GB2312"/>
          <w:color w:val="auto"/>
          <w:kern w:val="2"/>
          <w:sz w:val="32"/>
          <w:szCs w:val="32"/>
          <w:shd w:val="clear" w:color="auto" w:fill="auto"/>
          <w:lang w:val="en-US" w:eastAsia="zh-CN" w:bidi="ar-SA"/>
        </w:rPr>
      </w:pPr>
      <w:r>
        <w:rPr>
          <w:rFonts w:hint="eastAsia" w:ascii="仿宋_GB2312" w:hAnsi="仿宋_GB2312" w:eastAsia="仿宋_GB2312" w:cs="仿宋_GB2312"/>
          <w:b/>
          <w:bCs/>
          <w:color w:val="auto"/>
          <w:kern w:val="2"/>
          <w:sz w:val="32"/>
          <w:szCs w:val="32"/>
          <w:shd w:val="clear" w:color="auto" w:fill="auto"/>
          <w:lang w:val="en-US" w:eastAsia="zh-CN" w:bidi="ar-SA"/>
        </w:rPr>
        <w:t xml:space="preserve">第十四条  </w:t>
      </w:r>
      <w:r>
        <w:rPr>
          <w:rFonts w:hint="eastAsia" w:ascii="仿宋_GB2312" w:hAnsi="仿宋_GB2312" w:eastAsia="仿宋_GB2312" w:cs="仿宋_GB2312"/>
          <w:color w:val="auto"/>
          <w:kern w:val="2"/>
          <w:sz w:val="32"/>
          <w:szCs w:val="32"/>
          <w:shd w:val="clear" w:color="auto" w:fill="auto"/>
          <w:lang w:val="en-US" w:eastAsia="zh-CN" w:bidi="ar-SA"/>
        </w:rPr>
        <w:t>被收购户为孤儿、五保户、一至五级残疾人及重大疾病人员等家庭特别困难的，县民政、残联、医保、住建、乡村振兴、人社等有关部门应当予以帮助。</w:t>
      </w:r>
    </w:p>
    <w:p>
      <w:pPr>
        <w:keepNext w:val="0"/>
        <w:keepLines w:val="0"/>
        <w:pageBreakBefore w:val="0"/>
        <w:kinsoku/>
        <w:wordWrap/>
        <w:overflowPunct/>
        <w:topLinePunct/>
        <w:autoSpaceDE/>
        <w:autoSpaceDN/>
        <w:bidi w:val="0"/>
        <w:adjustRightInd w:val="0"/>
        <w:snapToGrid w:val="0"/>
        <w:spacing w:line="586" w:lineRule="exact"/>
        <w:ind w:firstLine="643" w:firstLineChars="200"/>
        <w:textAlignment w:val="auto"/>
        <w:outlineLvl w:val="9"/>
        <w:rPr>
          <w:rFonts w:hint="eastAsia" w:ascii="仿宋_GB2312" w:hAnsi="仿宋_GB2312" w:eastAsia="仿宋_GB2312" w:cs="仿宋_GB2312"/>
          <w:color w:val="auto"/>
          <w:sz w:val="32"/>
          <w:szCs w:val="32"/>
          <w:shd w:val="clear" w:color="auto" w:fill="auto"/>
          <w:lang w:eastAsia="zh-CN"/>
        </w:rPr>
      </w:pPr>
      <w:r>
        <w:rPr>
          <w:rFonts w:hint="eastAsia" w:ascii="仿宋_GB2312" w:hAnsi="仿宋_GB2312" w:eastAsia="仿宋_GB2312" w:cs="仿宋_GB2312"/>
          <w:b/>
          <w:bCs/>
          <w:color w:val="auto"/>
          <w:sz w:val="32"/>
          <w:szCs w:val="32"/>
          <w:shd w:val="clear" w:color="auto" w:fill="auto"/>
          <w:lang w:val="en-US" w:eastAsia="zh-CN"/>
        </w:rPr>
        <w:t>第十五条</w:t>
      </w:r>
      <w:r>
        <w:rPr>
          <w:rFonts w:hint="eastAsia" w:ascii="仿宋_GB2312" w:hAnsi="仿宋_GB2312" w:eastAsia="仿宋_GB2312" w:cs="仿宋_GB2312"/>
          <w:color w:val="auto"/>
          <w:sz w:val="32"/>
          <w:szCs w:val="32"/>
          <w:shd w:val="clear" w:color="auto" w:fill="auto"/>
          <w:lang w:val="en-US" w:eastAsia="zh-CN"/>
        </w:rPr>
        <w:t xml:space="preserve">  </w:t>
      </w:r>
      <w:r>
        <w:rPr>
          <w:rFonts w:hint="eastAsia" w:ascii="仿宋_GB2312" w:hAnsi="仿宋_GB2312" w:eastAsia="仿宋_GB2312" w:cs="仿宋_GB2312"/>
          <w:color w:val="auto"/>
          <w:sz w:val="32"/>
          <w:szCs w:val="32"/>
          <w:shd w:val="clear" w:color="auto" w:fill="auto"/>
          <w:lang w:eastAsia="zh-CN"/>
        </w:rPr>
        <w:t>被收购文物建筑为土改时期政府无偿提供给贫下中农使用，无法提供合法产权证明的，由属地乡镇人民政府（街道办事处）、村（社区）根据相关历史记录和实际情况确定建筑权属。原所有权人之间涉及土地、房屋权属有争议的,由当事人协商解决,协商不成的,由乡镇人民政府（街道办事处）调解处理。必要时,由县人民政府依法作出处理决定。对决定不服的,当事人可以依法申请行政复议或提起行政诉讼,但在复议和诉讼期间不影响决定的执行。</w:t>
      </w:r>
    </w:p>
    <w:p>
      <w:pPr>
        <w:keepNext w:val="0"/>
        <w:keepLines w:val="0"/>
        <w:pageBreakBefore w:val="0"/>
        <w:kinsoku/>
        <w:wordWrap/>
        <w:overflowPunct/>
        <w:topLinePunct/>
        <w:autoSpaceDE/>
        <w:autoSpaceDN/>
        <w:bidi w:val="0"/>
        <w:adjustRightInd w:val="0"/>
        <w:snapToGrid w:val="0"/>
        <w:spacing w:line="586" w:lineRule="exact"/>
        <w:ind w:firstLine="560"/>
        <w:textAlignment w:val="auto"/>
        <w:outlineLvl w:val="9"/>
        <w:rPr>
          <w:rFonts w:hint="eastAsia" w:ascii="仿宋_GB2312" w:hAnsi="仿宋_GB2312" w:eastAsia="仿宋_GB2312" w:cs="仿宋_GB2312"/>
          <w:color w:val="auto"/>
          <w:sz w:val="32"/>
          <w:szCs w:val="32"/>
          <w:shd w:val="clear" w:color="auto" w:fill="auto"/>
          <w:lang w:val="en-US" w:eastAsia="zh-CN"/>
        </w:rPr>
      </w:pPr>
      <w:r>
        <w:rPr>
          <w:rFonts w:hint="eastAsia" w:ascii="仿宋_GB2312" w:hAnsi="仿宋_GB2312" w:eastAsia="仿宋_GB2312" w:cs="仿宋_GB2312"/>
          <w:b/>
          <w:bCs/>
          <w:color w:val="auto"/>
          <w:sz w:val="32"/>
          <w:szCs w:val="32"/>
          <w:shd w:val="clear" w:color="auto" w:fill="auto"/>
          <w:lang w:eastAsia="zh-CN"/>
        </w:rPr>
        <w:t>第十六条</w:t>
      </w:r>
      <w:r>
        <w:rPr>
          <w:rFonts w:hint="eastAsia" w:ascii="仿宋_GB2312" w:hAnsi="仿宋_GB2312" w:eastAsia="仿宋_GB2312" w:cs="仿宋_GB2312"/>
          <w:color w:val="auto"/>
          <w:sz w:val="32"/>
          <w:szCs w:val="32"/>
          <w:shd w:val="clear" w:color="auto" w:fill="auto"/>
          <w:lang w:val="en-US" w:eastAsia="zh-CN"/>
        </w:rPr>
        <w:t xml:space="preserve">  乡镇人民政府（街道办事处）根据实际情况，可以制定奖励措施，对在规定时间内完成收购协议、房屋腾退迁出的被收购人和按时拆除了文物保护单位“两线”范围内建筑的住户进行奖励。</w:t>
      </w:r>
    </w:p>
    <w:p>
      <w:pPr>
        <w:keepNext w:val="0"/>
        <w:keepLines w:val="0"/>
        <w:pageBreakBefore w:val="0"/>
        <w:kinsoku/>
        <w:wordWrap/>
        <w:overflowPunct/>
        <w:topLinePunct/>
        <w:autoSpaceDE/>
        <w:autoSpaceDN/>
        <w:bidi w:val="0"/>
        <w:adjustRightInd w:val="0"/>
        <w:snapToGrid w:val="0"/>
        <w:spacing w:line="586" w:lineRule="exact"/>
        <w:ind w:firstLine="643" w:firstLineChars="200"/>
        <w:textAlignment w:val="auto"/>
        <w:outlineLvl w:val="9"/>
        <w:rPr>
          <w:rFonts w:hint="eastAsia" w:ascii="仿宋_GB2312" w:hAnsi="仿宋_GB2312" w:eastAsia="仿宋_GB2312" w:cs="仿宋_GB2312"/>
          <w:color w:val="auto"/>
          <w:sz w:val="32"/>
          <w:szCs w:val="32"/>
          <w:shd w:val="clear" w:color="auto" w:fill="auto"/>
          <w:lang w:eastAsia="zh-CN"/>
        </w:rPr>
      </w:pPr>
      <w:r>
        <w:rPr>
          <w:rFonts w:hint="eastAsia" w:ascii="仿宋_GB2312" w:hAnsi="仿宋_GB2312" w:eastAsia="仿宋_GB2312" w:cs="仿宋_GB2312"/>
          <w:b/>
          <w:bCs/>
          <w:color w:val="auto"/>
          <w:sz w:val="32"/>
          <w:szCs w:val="32"/>
          <w:shd w:val="clear" w:color="auto" w:fill="auto"/>
          <w:lang w:eastAsia="zh-CN"/>
        </w:rPr>
        <w:t>第十七条</w:t>
      </w:r>
      <w:r>
        <w:rPr>
          <w:rFonts w:hint="eastAsia" w:ascii="仿宋_GB2312" w:hAnsi="仿宋_GB2312" w:eastAsia="仿宋_GB2312" w:cs="仿宋_GB2312"/>
          <w:color w:val="auto"/>
          <w:sz w:val="32"/>
          <w:szCs w:val="32"/>
          <w:shd w:val="clear" w:color="auto" w:fill="auto"/>
          <w:lang w:val="en-US" w:eastAsia="zh-CN"/>
        </w:rPr>
        <w:t xml:space="preserve">  收购协议约定的补偿款支付到位后，</w:t>
      </w:r>
      <w:r>
        <w:rPr>
          <w:rFonts w:hint="eastAsia" w:ascii="仿宋_GB2312" w:hAnsi="仿宋_GB2312" w:eastAsia="仿宋_GB2312" w:cs="仿宋_GB2312"/>
          <w:color w:val="auto"/>
          <w:sz w:val="32"/>
          <w:szCs w:val="32"/>
          <w:shd w:val="clear" w:color="auto" w:fill="auto"/>
          <w:lang w:eastAsia="zh-CN"/>
        </w:rPr>
        <w:t>被收购户应及时将持有的文物建筑产权证明上交乡镇人民政府（街道办事处），被收购户移交文物建筑产权应自觉保护好原有房屋,不得私自将房屋内的门、窗、格栅、木雕等硬木构件或石构件拆除,不得改变原房屋结构、形制或对房屋造成损害,否则将根据《中华人民共和国文物保护法》及有关法律法规追究其经济责任和法律责任。</w:t>
      </w:r>
    </w:p>
    <w:p>
      <w:pPr>
        <w:keepNext w:val="0"/>
        <w:keepLines w:val="0"/>
        <w:pageBreakBefore w:val="0"/>
        <w:kinsoku/>
        <w:wordWrap/>
        <w:overflowPunct/>
        <w:topLinePunct/>
        <w:autoSpaceDE/>
        <w:autoSpaceDN/>
        <w:bidi w:val="0"/>
        <w:adjustRightInd w:val="0"/>
        <w:snapToGrid w:val="0"/>
        <w:spacing w:line="586" w:lineRule="exact"/>
        <w:ind w:firstLine="643" w:firstLineChars="200"/>
        <w:textAlignment w:val="auto"/>
        <w:outlineLvl w:val="9"/>
        <w:rPr>
          <w:rFonts w:hint="eastAsia" w:ascii="仿宋_GB2312" w:hAnsi="仿宋_GB2312" w:eastAsia="仿宋_GB2312" w:cs="仿宋_GB2312"/>
          <w:color w:val="auto"/>
          <w:sz w:val="32"/>
          <w:szCs w:val="32"/>
          <w:shd w:val="clear" w:color="auto" w:fill="auto"/>
          <w:lang w:val="en-US" w:eastAsia="zh-CN"/>
        </w:rPr>
      </w:pPr>
      <w:r>
        <w:rPr>
          <w:rFonts w:hint="eastAsia" w:ascii="仿宋_GB2312" w:hAnsi="仿宋_GB2312" w:eastAsia="仿宋_GB2312" w:cs="仿宋_GB2312"/>
          <w:b/>
          <w:bCs/>
          <w:color w:val="auto"/>
          <w:sz w:val="32"/>
          <w:szCs w:val="32"/>
          <w:shd w:val="clear" w:color="auto" w:fill="auto"/>
        </w:rPr>
        <w:t>第</w:t>
      </w:r>
      <w:r>
        <w:rPr>
          <w:rFonts w:hint="eastAsia" w:ascii="仿宋_GB2312" w:hAnsi="仿宋_GB2312" w:eastAsia="仿宋_GB2312" w:cs="仿宋_GB2312"/>
          <w:b/>
          <w:bCs/>
          <w:color w:val="auto"/>
          <w:sz w:val="32"/>
          <w:szCs w:val="32"/>
          <w:shd w:val="clear" w:color="auto" w:fill="auto"/>
          <w:lang w:eastAsia="zh-CN"/>
        </w:rPr>
        <w:t>十八</w:t>
      </w:r>
      <w:r>
        <w:rPr>
          <w:rFonts w:hint="eastAsia" w:ascii="仿宋_GB2312" w:hAnsi="仿宋_GB2312" w:eastAsia="仿宋_GB2312" w:cs="仿宋_GB2312"/>
          <w:b/>
          <w:bCs/>
          <w:color w:val="auto"/>
          <w:sz w:val="32"/>
          <w:szCs w:val="32"/>
          <w:shd w:val="clear" w:color="auto" w:fill="auto"/>
        </w:rPr>
        <w:t>条</w:t>
      </w:r>
      <w:r>
        <w:rPr>
          <w:rFonts w:hint="eastAsia" w:ascii="仿宋_GB2312" w:hAnsi="仿宋_GB2312" w:eastAsia="仿宋_GB2312" w:cs="仿宋_GB2312"/>
          <w:color w:val="auto"/>
          <w:sz w:val="32"/>
          <w:szCs w:val="32"/>
          <w:shd w:val="clear" w:color="auto" w:fill="auto"/>
          <w:lang w:val="en-US" w:eastAsia="zh-CN"/>
        </w:rPr>
        <w:t xml:space="preserve">  </w:t>
      </w:r>
      <w:r>
        <w:rPr>
          <w:rFonts w:hint="eastAsia" w:ascii="仿宋_GB2312" w:hAnsi="仿宋_GB2312" w:eastAsia="仿宋_GB2312" w:cs="仿宋_GB2312"/>
          <w:color w:val="auto"/>
          <w:sz w:val="32"/>
          <w:szCs w:val="32"/>
          <w:shd w:val="clear" w:color="auto" w:fill="auto"/>
          <w:lang w:eastAsia="zh-CN"/>
        </w:rPr>
        <w:t>不接受县人民政府对文物建筑产权收购决定的住户，应按照“谁使用谁负责”的原则和文物部门批准的修缮方案的要求，承担全部保护修缮费用并按规定时间支付到位，由具备专业资质的施工单位进行文物修缮。承担了保护修缮费用的文物建筑所有权人，可继续保留其所有权，也可以将使用权租赁给属地政府进行统一规划和展示利用，使用权租赁期限一般最长不超过</w:t>
      </w:r>
      <w:r>
        <w:rPr>
          <w:rFonts w:hint="eastAsia" w:ascii="仿宋_GB2312" w:hAnsi="仿宋_GB2312" w:eastAsia="仿宋_GB2312" w:cs="仿宋_GB2312"/>
          <w:color w:val="auto"/>
          <w:sz w:val="32"/>
          <w:szCs w:val="32"/>
          <w:shd w:val="clear" w:color="auto" w:fill="auto"/>
          <w:lang w:val="en-US" w:eastAsia="zh-CN"/>
        </w:rPr>
        <w:t>20年，</w:t>
      </w:r>
      <w:r>
        <w:rPr>
          <w:rFonts w:hint="eastAsia" w:ascii="仿宋_GB2312" w:hAnsi="仿宋_GB2312" w:eastAsia="仿宋_GB2312" w:cs="仿宋_GB2312"/>
          <w:color w:val="auto"/>
          <w:sz w:val="32"/>
          <w:szCs w:val="32"/>
          <w:shd w:val="clear" w:color="auto" w:fill="auto"/>
          <w:lang w:eastAsia="zh-CN"/>
        </w:rPr>
        <w:t>租金按当地的市场价格，签订租赁协议</w:t>
      </w:r>
      <w:r>
        <w:rPr>
          <w:rFonts w:hint="eastAsia" w:ascii="仿宋_GB2312" w:hAnsi="仿宋_GB2312" w:eastAsia="仿宋_GB2312" w:cs="仿宋_GB2312"/>
          <w:color w:val="auto"/>
          <w:sz w:val="32"/>
          <w:szCs w:val="32"/>
          <w:shd w:val="clear" w:color="auto" w:fill="auto"/>
          <w:lang w:val="en-US" w:eastAsia="zh-CN"/>
        </w:rPr>
        <w:t>。</w:t>
      </w:r>
    </w:p>
    <w:p>
      <w:pPr>
        <w:keepNext w:val="0"/>
        <w:keepLines w:val="0"/>
        <w:pageBreakBefore w:val="0"/>
        <w:kinsoku/>
        <w:wordWrap/>
        <w:overflowPunct/>
        <w:topLinePunct/>
        <w:autoSpaceDE/>
        <w:autoSpaceDN/>
        <w:bidi w:val="0"/>
        <w:adjustRightInd w:val="0"/>
        <w:snapToGrid w:val="0"/>
        <w:spacing w:line="586" w:lineRule="exact"/>
        <w:ind w:firstLine="640" w:firstLineChars="200"/>
        <w:textAlignment w:val="auto"/>
        <w:outlineLvl w:val="9"/>
        <w:rPr>
          <w:rFonts w:hint="eastAsia"/>
          <w:color w:val="auto"/>
          <w:shd w:val="clear" w:color="auto" w:fill="auto"/>
          <w:lang w:eastAsia="zh-CN"/>
        </w:rPr>
      </w:pPr>
      <w:r>
        <w:rPr>
          <w:rFonts w:hint="eastAsia" w:ascii="仿宋_GB2312" w:hAnsi="仿宋_GB2312" w:eastAsia="仿宋_GB2312" w:cs="仿宋_GB2312"/>
          <w:color w:val="auto"/>
          <w:sz w:val="32"/>
          <w:szCs w:val="32"/>
          <w:shd w:val="clear" w:color="auto" w:fill="auto"/>
          <w:lang w:val="en-US" w:eastAsia="zh-CN"/>
        </w:rPr>
        <w:t>保留文物保护单位建筑所有权的住户，应继续承担文物保护单位日常保养修缮义务和文物安全直接责任。</w:t>
      </w:r>
    </w:p>
    <w:p>
      <w:pPr>
        <w:keepNext w:val="0"/>
        <w:keepLines w:val="0"/>
        <w:pageBreakBefore w:val="0"/>
        <w:kinsoku/>
        <w:wordWrap/>
        <w:overflowPunct/>
        <w:topLinePunct/>
        <w:autoSpaceDE/>
        <w:autoSpaceDN/>
        <w:bidi w:val="0"/>
        <w:adjustRightInd w:val="0"/>
        <w:snapToGrid w:val="0"/>
        <w:spacing w:line="586" w:lineRule="exact"/>
        <w:ind w:firstLine="643" w:firstLineChars="200"/>
        <w:textAlignment w:val="auto"/>
        <w:outlineLvl w:val="9"/>
        <w:rPr>
          <w:rFonts w:hint="eastAsia" w:ascii="仿宋_GB2312" w:hAnsi="仿宋_GB2312" w:eastAsia="仿宋_GB2312" w:cs="仿宋_GB2312"/>
          <w:color w:val="auto"/>
          <w:sz w:val="32"/>
          <w:szCs w:val="32"/>
          <w:shd w:val="clear" w:color="auto" w:fill="auto"/>
          <w:lang w:eastAsia="zh-CN"/>
        </w:rPr>
      </w:pPr>
      <w:r>
        <w:rPr>
          <w:rFonts w:hint="eastAsia" w:ascii="仿宋_GB2312" w:hAnsi="仿宋_GB2312" w:eastAsia="仿宋_GB2312" w:cs="仿宋_GB2312"/>
          <w:b/>
          <w:bCs/>
          <w:color w:val="auto"/>
          <w:sz w:val="32"/>
          <w:szCs w:val="32"/>
          <w:shd w:val="clear" w:color="auto" w:fill="auto"/>
        </w:rPr>
        <w:t>第</w:t>
      </w:r>
      <w:r>
        <w:rPr>
          <w:rFonts w:hint="eastAsia" w:ascii="仿宋_GB2312" w:hAnsi="仿宋_GB2312" w:eastAsia="仿宋_GB2312" w:cs="仿宋_GB2312"/>
          <w:b/>
          <w:bCs/>
          <w:color w:val="auto"/>
          <w:sz w:val="32"/>
          <w:szCs w:val="32"/>
          <w:shd w:val="clear" w:color="auto" w:fill="auto"/>
          <w:lang w:eastAsia="zh-CN"/>
        </w:rPr>
        <w:t>十九</w:t>
      </w:r>
      <w:r>
        <w:rPr>
          <w:rFonts w:hint="eastAsia" w:ascii="仿宋_GB2312" w:hAnsi="仿宋_GB2312" w:eastAsia="仿宋_GB2312" w:cs="仿宋_GB2312"/>
          <w:b/>
          <w:bCs/>
          <w:color w:val="auto"/>
          <w:sz w:val="32"/>
          <w:szCs w:val="32"/>
          <w:shd w:val="clear" w:color="auto" w:fill="auto"/>
        </w:rPr>
        <w:t>条</w:t>
      </w:r>
      <w:r>
        <w:rPr>
          <w:rFonts w:hint="eastAsia" w:ascii="仿宋_GB2312" w:hAnsi="仿宋_GB2312" w:eastAsia="仿宋_GB2312" w:cs="仿宋_GB2312"/>
          <w:color w:val="auto"/>
          <w:sz w:val="32"/>
          <w:szCs w:val="32"/>
          <w:shd w:val="clear" w:color="auto" w:fill="auto"/>
          <w:lang w:val="en-US" w:eastAsia="zh-CN"/>
        </w:rPr>
        <w:t xml:space="preserve">  </w:t>
      </w:r>
      <w:r>
        <w:rPr>
          <w:rFonts w:hint="eastAsia" w:ascii="仿宋_GB2312" w:hAnsi="仿宋_GB2312" w:eastAsia="仿宋_GB2312" w:cs="仿宋_GB2312"/>
          <w:color w:val="auto"/>
          <w:sz w:val="32"/>
          <w:szCs w:val="32"/>
          <w:shd w:val="clear" w:color="auto" w:fill="auto"/>
          <w:lang w:eastAsia="zh-CN"/>
        </w:rPr>
        <w:t>文物保护单位产权收归国有后的管理与保护。未成立相应管理机构的，由属地乡镇人民政府（街道办事处）负责安全管理，县财政承担相关管理费用并列入财政预算。</w:t>
      </w:r>
    </w:p>
    <w:p>
      <w:pPr>
        <w:keepNext w:val="0"/>
        <w:keepLines w:val="0"/>
        <w:pageBreakBefore w:val="0"/>
        <w:kinsoku/>
        <w:wordWrap/>
        <w:overflowPunct/>
        <w:topLinePunct/>
        <w:autoSpaceDE/>
        <w:autoSpaceDN/>
        <w:bidi w:val="0"/>
        <w:adjustRightInd w:val="0"/>
        <w:snapToGrid w:val="0"/>
        <w:spacing w:line="586" w:lineRule="exact"/>
        <w:ind w:firstLine="560"/>
        <w:textAlignment w:val="auto"/>
        <w:outlineLvl w:val="9"/>
        <w:rPr>
          <w:rFonts w:hint="eastAsia" w:ascii="仿宋_GB2312" w:hAnsi="仿宋_GB2312" w:eastAsia="仿宋_GB2312" w:cs="仿宋_GB2312"/>
          <w:color w:val="auto"/>
          <w:sz w:val="32"/>
          <w:szCs w:val="32"/>
          <w:shd w:val="clear" w:color="auto" w:fill="auto"/>
          <w:lang w:val="en-US" w:eastAsia="zh-CN"/>
        </w:rPr>
      </w:pPr>
      <w:r>
        <w:rPr>
          <w:rFonts w:hint="eastAsia" w:ascii="仿宋_GB2312" w:hAnsi="仿宋_GB2312" w:eastAsia="仿宋_GB2312" w:cs="仿宋_GB2312"/>
          <w:b/>
          <w:bCs/>
          <w:color w:val="auto"/>
          <w:sz w:val="32"/>
          <w:szCs w:val="32"/>
          <w:shd w:val="clear" w:color="auto" w:fill="auto"/>
          <w:lang w:eastAsia="zh-CN"/>
        </w:rPr>
        <w:t>第二十条</w:t>
      </w:r>
      <w:r>
        <w:rPr>
          <w:rFonts w:hint="eastAsia" w:ascii="仿宋_GB2312" w:hAnsi="仿宋_GB2312" w:eastAsia="仿宋_GB2312" w:cs="仿宋_GB2312"/>
          <w:color w:val="auto"/>
          <w:sz w:val="32"/>
          <w:szCs w:val="32"/>
          <w:shd w:val="clear" w:color="auto" w:fill="auto"/>
          <w:lang w:val="en-US" w:eastAsia="zh-CN"/>
        </w:rPr>
        <w:t xml:space="preserve">  被收购</w:t>
      </w:r>
      <w:r>
        <w:rPr>
          <w:rFonts w:hint="eastAsia" w:ascii="仿宋_GB2312" w:hAnsi="仿宋_GB2312" w:eastAsia="仿宋_GB2312" w:cs="仿宋_GB2312"/>
          <w:color w:val="auto"/>
          <w:sz w:val="32"/>
          <w:szCs w:val="32"/>
          <w:shd w:val="clear" w:color="auto" w:fill="auto"/>
        </w:rPr>
        <w:t>文物建（构）筑物及附属</w:t>
      </w:r>
      <w:r>
        <w:rPr>
          <w:rFonts w:hint="eastAsia" w:ascii="仿宋_GB2312" w:hAnsi="仿宋_GB2312" w:eastAsia="仿宋_GB2312" w:cs="仿宋_GB2312"/>
          <w:color w:val="auto"/>
          <w:sz w:val="32"/>
          <w:szCs w:val="32"/>
          <w:shd w:val="clear" w:color="auto" w:fill="auto"/>
          <w:lang w:eastAsia="zh-CN"/>
        </w:rPr>
        <w:t>物</w:t>
      </w:r>
      <w:r>
        <w:rPr>
          <w:rFonts w:hint="eastAsia" w:ascii="仿宋_GB2312" w:hAnsi="仿宋_GB2312" w:eastAsia="仿宋_GB2312" w:cs="仿宋_GB2312"/>
          <w:color w:val="auto"/>
          <w:sz w:val="32"/>
          <w:szCs w:val="32"/>
          <w:shd w:val="clear" w:color="auto" w:fill="auto"/>
          <w:lang w:val="en-US" w:eastAsia="zh-CN"/>
        </w:rPr>
        <w:t>占用的集体土地和因管理需要占用的管理用地，参照湖南省人民政府公布的相应土地类别及补偿标准予以补偿</w:t>
      </w:r>
      <w:r>
        <w:rPr>
          <w:rFonts w:hint="eastAsia" w:ascii="仿宋_GB2312" w:hAnsi="仿宋_GB2312" w:eastAsia="仿宋_GB2312" w:cs="仿宋_GB2312"/>
          <w:color w:val="auto"/>
          <w:sz w:val="32"/>
          <w:szCs w:val="32"/>
          <w:shd w:val="clear" w:color="auto" w:fill="auto"/>
        </w:rPr>
        <w:t>。</w:t>
      </w:r>
      <w:r>
        <w:rPr>
          <w:rFonts w:hint="eastAsia" w:ascii="仿宋_GB2312" w:hAnsi="仿宋_GB2312" w:eastAsia="仿宋_GB2312" w:cs="仿宋_GB2312"/>
          <w:color w:val="auto"/>
          <w:sz w:val="32"/>
          <w:szCs w:val="32"/>
          <w:shd w:val="clear" w:color="auto" w:fill="auto"/>
          <w:lang w:eastAsia="zh-CN"/>
        </w:rPr>
        <w:t>土地补偿面积按照水平投影面积计算。</w:t>
      </w:r>
    </w:p>
    <w:p>
      <w:pPr>
        <w:keepNext w:val="0"/>
        <w:keepLines w:val="0"/>
        <w:pageBreakBefore w:val="0"/>
        <w:kinsoku/>
        <w:wordWrap/>
        <w:overflowPunct/>
        <w:topLinePunct/>
        <w:autoSpaceDE/>
        <w:autoSpaceDN/>
        <w:bidi w:val="0"/>
        <w:adjustRightInd w:val="0"/>
        <w:snapToGrid w:val="0"/>
        <w:spacing w:line="586" w:lineRule="exact"/>
        <w:ind w:firstLine="640" w:firstLineChars="200"/>
        <w:textAlignment w:val="auto"/>
        <w:outlineLvl w:val="9"/>
        <w:rPr>
          <w:rFonts w:hint="eastAsia" w:ascii="仿宋_GB2312" w:hAnsi="仿宋_GB2312" w:eastAsia="仿宋_GB2312" w:cs="仿宋_GB2312"/>
          <w:color w:val="auto"/>
          <w:sz w:val="32"/>
          <w:szCs w:val="32"/>
          <w:shd w:val="clear" w:color="auto" w:fill="auto"/>
        </w:rPr>
      </w:pPr>
    </w:p>
    <w:p>
      <w:pPr>
        <w:pStyle w:val="6"/>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autoSpaceDE/>
        <w:autoSpaceDN/>
        <w:bidi w:val="0"/>
        <w:adjustRightInd w:val="0"/>
        <w:snapToGrid w:val="0"/>
        <w:spacing w:beforeAutospacing="0" w:afterAutospacing="0" w:line="586" w:lineRule="exact"/>
        <w:ind w:right="0" w:rightChars="0"/>
        <w:jc w:val="center"/>
        <w:textAlignment w:val="auto"/>
        <w:outlineLvl w:val="9"/>
        <w:rPr>
          <w:rFonts w:hint="eastAsia" w:ascii="黑体" w:hAnsi="黑体" w:eastAsia="黑体" w:cs="黑体"/>
          <w:b w:val="0"/>
          <w:bCs w:val="0"/>
          <w:color w:val="auto"/>
          <w:sz w:val="32"/>
          <w:szCs w:val="32"/>
          <w:shd w:val="clear" w:color="auto" w:fill="auto"/>
          <w:lang w:eastAsia="zh-CN"/>
        </w:rPr>
      </w:pPr>
      <w:r>
        <w:rPr>
          <w:rFonts w:hint="eastAsia" w:ascii="黑体" w:hAnsi="黑体" w:eastAsia="黑体" w:cs="黑体"/>
          <w:b w:val="0"/>
          <w:bCs w:val="0"/>
          <w:color w:val="auto"/>
          <w:sz w:val="32"/>
          <w:szCs w:val="32"/>
          <w:shd w:val="clear" w:color="auto" w:fill="auto"/>
          <w:lang w:eastAsia="zh-CN"/>
        </w:rPr>
        <w:t>第三章</w:t>
      </w:r>
      <w:r>
        <w:rPr>
          <w:rFonts w:hint="eastAsia" w:ascii="黑体" w:hAnsi="黑体" w:eastAsia="黑体" w:cs="黑体"/>
          <w:b w:val="0"/>
          <w:bCs w:val="0"/>
          <w:color w:val="auto"/>
          <w:sz w:val="32"/>
          <w:szCs w:val="32"/>
          <w:shd w:val="clear" w:color="auto" w:fill="auto"/>
          <w:lang w:val="en-US" w:eastAsia="zh-CN"/>
        </w:rPr>
        <w:t xml:space="preserve">  </w:t>
      </w:r>
      <w:r>
        <w:rPr>
          <w:rFonts w:hint="eastAsia" w:ascii="黑体" w:hAnsi="黑体" w:eastAsia="黑体" w:cs="黑体"/>
          <w:b w:val="0"/>
          <w:bCs w:val="0"/>
          <w:color w:val="auto"/>
          <w:sz w:val="32"/>
          <w:szCs w:val="32"/>
          <w:shd w:val="clear" w:color="auto" w:fill="auto"/>
          <w:lang w:eastAsia="zh-CN"/>
        </w:rPr>
        <w:t>文物建筑使用权流转</w:t>
      </w:r>
    </w:p>
    <w:p>
      <w:pPr>
        <w:keepNext w:val="0"/>
        <w:keepLines w:val="0"/>
        <w:pageBreakBefore w:val="0"/>
        <w:kinsoku/>
        <w:wordWrap/>
        <w:overflowPunct/>
        <w:topLinePunct/>
        <w:autoSpaceDE/>
        <w:autoSpaceDN/>
        <w:bidi w:val="0"/>
        <w:adjustRightInd w:val="0"/>
        <w:snapToGrid w:val="0"/>
        <w:spacing w:line="586" w:lineRule="exact"/>
        <w:ind w:firstLine="643" w:firstLineChars="200"/>
        <w:textAlignment w:val="auto"/>
        <w:outlineLvl w:val="9"/>
        <w:rPr>
          <w:rFonts w:hint="eastAsia" w:ascii="仿宋_GB2312" w:hAnsi="仿宋_GB2312" w:eastAsia="仿宋_GB2312" w:cs="仿宋_GB2312"/>
          <w:color w:val="auto"/>
          <w:sz w:val="32"/>
          <w:szCs w:val="32"/>
          <w:shd w:val="clear" w:color="auto" w:fill="auto"/>
        </w:rPr>
      </w:pPr>
      <w:r>
        <w:rPr>
          <w:rFonts w:hint="eastAsia" w:ascii="仿宋_GB2312" w:hAnsi="仿宋_GB2312" w:eastAsia="仿宋_GB2312" w:cs="仿宋_GB2312"/>
          <w:b/>
          <w:bCs/>
          <w:color w:val="auto"/>
          <w:sz w:val="32"/>
          <w:szCs w:val="32"/>
          <w:shd w:val="clear" w:color="auto" w:fill="auto"/>
          <w:lang w:eastAsia="zh-CN"/>
        </w:rPr>
        <w:t>第二十一条</w:t>
      </w:r>
      <w:r>
        <w:rPr>
          <w:rFonts w:hint="eastAsia" w:ascii="仿宋_GB2312" w:hAnsi="仿宋_GB2312" w:eastAsia="仿宋_GB2312" w:cs="仿宋_GB2312"/>
          <w:b w:val="0"/>
          <w:bCs w:val="0"/>
          <w:color w:val="auto"/>
          <w:sz w:val="32"/>
          <w:szCs w:val="32"/>
          <w:shd w:val="clear" w:color="auto" w:fill="auto"/>
          <w:lang w:val="en-US" w:eastAsia="zh-CN"/>
        </w:rPr>
        <w:t xml:space="preserve">  </w:t>
      </w:r>
      <w:r>
        <w:rPr>
          <w:rFonts w:hint="eastAsia" w:ascii="仿宋_GB2312" w:hAnsi="仿宋_GB2312" w:eastAsia="仿宋_GB2312" w:cs="仿宋_GB2312"/>
          <w:b w:val="0"/>
          <w:bCs w:val="0"/>
          <w:color w:val="auto"/>
          <w:sz w:val="32"/>
          <w:szCs w:val="32"/>
          <w:shd w:val="clear" w:color="auto" w:fill="auto"/>
        </w:rPr>
        <w:t>流转</w:t>
      </w:r>
      <w:r>
        <w:rPr>
          <w:rFonts w:hint="eastAsia" w:ascii="仿宋_GB2312" w:hAnsi="仿宋_GB2312" w:eastAsia="仿宋_GB2312" w:cs="仿宋_GB2312"/>
          <w:b w:val="0"/>
          <w:bCs w:val="0"/>
          <w:color w:val="auto"/>
          <w:sz w:val="32"/>
          <w:szCs w:val="32"/>
          <w:shd w:val="clear" w:color="auto" w:fill="auto"/>
          <w:lang w:eastAsia="zh-CN"/>
        </w:rPr>
        <w:t>范围。</w:t>
      </w:r>
      <w:r>
        <w:rPr>
          <w:rFonts w:hint="eastAsia" w:ascii="仿宋_GB2312" w:hAnsi="仿宋_GB2312" w:eastAsia="仿宋_GB2312" w:cs="仿宋_GB2312"/>
          <w:i w:val="0"/>
          <w:caps w:val="0"/>
          <w:color w:val="auto"/>
          <w:spacing w:val="12"/>
          <w:sz w:val="32"/>
          <w:szCs w:val="32"/>
          <w:shd w:val="clear" w:color="auto" w:fill="auto"/>
        </w:rPr>
        <w:t>县级文物保护单位及尚未核定公布为文物保护单位的</w:t>
      </w:r>
      <w:r>
        <w:rPr>
          <w:rFonts w:hint="eastAsia" w:ascii="仿宋_GB2312" w:hAnsi="仿宋_GB2312" w:eastAsia="仿宋_GB2312" w:cs="仿宋_GB2312"/>
          <w:i w:val="0"/>
          <w:caps w:val="0"/>
          <w:color w:val="auto"/>
          <w:spacing w:val="12"/>
          <w:sz w:val="32"/>
          <w:szCs w:val="32"/>
          <w:shd w:val="clear" w:color="auto" w:fill="auto"/>
          <w:lang w:eastAsia="zh-CN"/>
        </w:rPr>
        <w:t>文物建筑</w:t>
      </w:r>
      <w:r>
        <w:rPr>
          <w:rFonts w:hint="eastAsia" w:ascii="仿宋_GB2312" w:hAnsi="仿宋_GB2312" w:eastAsia="仿宋_GB2312" w:cs="仿宋_GB2312"/>
          <w:i w:val="0"/>
          <w:caps w:val="0"/>
          <w:color w:val="auto"/>
          <w:spacing w:val="12"/>
          <w:sz w:val="32"/>
          <w:szCs w:val="32"/>
          <w:shd w:val="clear" w:color="auto" w:fill="auto"/>
        </w:rPr>
        <w:t>是不可移动文物资源的重要组成部分。这些</w:t>
      </w:r>
      <w:r>
        <w:rPr>
          <w:rFonts w:hint="eastAsia" w:ascii="仿宋_GB2312" w:hAnsi="仿宋_GB2312" w:eastAsia="仿宋_GB2312" w:cs="仿宋_GB2312"/>
          <w:i w:val="0"/>
          <w:caps w:val="0"/>
          <w:color w:val="auto"/>
          <w:spacing w:val="12"/>
          <w:sz w:val="32"/>
          <w:szCs w:val="32"/>
          <w:shd w:val="clear" w:color="auto" w:fill="auto"/>
          <w:lang w:eastAsia="zh-CN"/>
        </w:rPr>
        <w:t>文物建筑</w:t>
      </w:r>
      <w:r>
        <w:rPr>
          <w:rFonts w:hint="eastAsia" w:ascii="仿宋_GB2312" w:hAnsi="仿宋_GB2312" w:eastAsia="仿宋_GB2312" w:cs="仿宋_GB2312"/>
          <w:i w:val="0"/>
          <w:caps w:val="0"/>
          <w:color w:val="auto"/>
          <w:spacing w:val="12"/>
          <w:sz w:val="32"/>
          <w:szCs w:val="32"/>
          <w:shd w:val="clear" w:color="auto" w:fill="auto"/>
        </w:rPr>
        <w:t>日常管理维护难度大，保护任务量大面广，需要动员全社会力量参与。</w:t>
      </w:r>
      <w:r>
        <w:rPr>
          <w:rFonts w:hint="eastAsia" w:ascii="仿宋_GB2312" w:hAnsi="仿宋_GB2312" w:eastAsia="仿宋_GB2312" w:cs="仿宋_GB2312"/>
          <w:color w:val="auto"/>
          <w:sz w:val="32"/>
          <w:szCs w:val="32"/>
          <w:shd w:val="clear" w:color="auto" w:fill="auto"/>
        </w:rPr>
        <w:t>鼓励</w:t>
      </w:r>
      <w:r>
        <w:rPr>
          <w:rFonts w:hint="eastAsia" w:ascii="仿宋_GB2312" w:hAnsi="仿宋_GB2312" w:eastAsia="仿宋_GB2312" w:cs="仿宋_GB2312"/>
          <w:color w:val="auto"/>
          <w:sz w:val="32"/>
          <w:szCs w:val="32"/>
          <w:shd w:val="clear" w:color="auto" w:fill="auto"/>
          <w:lang w:eastAsia="zh-CN"/>
        </w:rPr>
        <w:t>县级</w:t>
      </w:r>
      <w:r>
        <w:rPr>
          <w:rFonts w:hint="eastAsia" w:ascii="仿宋_GB2312" w:hAnsi="仿宋_GB2312" w:eastAsia="仿宋_GB2312" w:cs="仿宋_GB2312"/>
          <w:color w:val="auto"/>
          <w:sz w:val="32"/>
          <w:szCs w:val="32"/>
          <w:shd w:val="clear" w:color="auto" w:fill="auto"/>
          <w:lang w:val="en-US" w:eastAsia="zh-CN"/>
        </w:rPr>
        <w:t>以下</w:t>
      </w:r>
      <w:r>
        <w:rPr>
          <w:rFonts w:hint="eastAsia" w:ascii="仿宋_GB2312" w:hAnsi="仿宋_GB2312" w:eastAsia="仿宋_GB2312" w:cs="仿宋_GB2312"/>
          <w:color w:val="auto"/>
          <w:sz w:val="32"/>
          <w:szCs w:val="32"/>
          <w:shd w:val="clear" w:color="auto" w:fill="auto"/>
          <w:lang w:eastAsia="zh-CN"/>
        </w:rPr>
        <w:t>文物建筑</w:t>
      </w:r>
      <w:r>
        <w:rPr>
          <w:rFonts w:hint="eastAsia" w:ascii="仿宋_GB2312" w:hAnsi="仿宋_GB2312" w:eastAsia="仿宋_GB2312" w:cs="仿宋_GB2312"/>
          <w:color w:val="auto"/>
          <w:sz w:val="32"/>
          <w:szCs w:val="32"/>
          <w:shd w:val="clear" w:color="auto" w:fill="auto"/>
        </w:rPr>
        <w:t>所有人依法向属地政府、国有企业、社会组织流转使用权，租金按当地的市场价格</w:t>
      </w:r>
      <w:r>
        <w:rPr>
          <w:rFonts w:hint="eastAsia" w:ascii="仿宋_GB2312" w:hAnsi="仿宋_GB2312" w:eastAsia="仿宋_GB2312" w:cs="仿宋_GB2312"/>
          <w:color w:val="auto"/>
          <w:sz w:val="32"/>
          <w:szCs w:val="32"/>
          <w:shd w:val="clear" w:color="auto" w:fill="auto"/>
          <w:lang w:eastAsia="zh-CN"/>
        </w:rPr>
        <w:t>签订租赁协议</w:t>
      </w:r>
      <w:r>
        <w:rPr>
          <w:rFonts w:hint="eastAsia" w:ascii="仿宋_GB2312" w:hAnsi="仿宋_GB2312" w:eastAsia="仿宋_GB2312" w:cs="仿宋_GB2312"/>
          <w:color w:val="auto"/>
          <w:sz w:val="32"/>
          <w:szCs w:val="32"/>
          <w:shd w:val="clear" w:color="auto" w:fill="auto"/>
        </w:rPr>
        <w:t>执行，县财政给予出租人适当奖励。</w:t>
      </w:r>
    </w:p>
    <w:p>
      <w:pPr>
        <w:keepNext w:val="0"/>
        <w:keepLines w:val="0"/>
        <w:pageBreakBefore w:val="0"/>
        <w:widowControl w:val="0"/>
        <w:kinsoku/>
        <w:wordWrap/>
        <w:overflowPunct/>
        <w:topLinePunct/>
        <w:autoSpaceDE/>
        <w:autoSpaceDN/>
        <w:bidi w:val="0"/>
        <w:adjustRightInd w:val="0"/>
        <w:snapToGrid w:val="0"/>
        <w:spacing w:line="586" w:lineRule="exact"/>
        <w:ind w:firstLine="643" w:firstLineChars="200"/>
        <w:textAlignment w:val="auto"/>
        <w:outlineLvl w:val="9"/>
        <w:rPr>
          <w:rFonts w:hint="eastAsia" w:ascii="仿宋_GB2312" w:hAnsi="仿宋_GB2312" w:eastAsia="仿宋_GB2312" w:cs="仿宋_GB2312"/>
          <w:color w:val="auto"/>
          <w:sz w:val="32"/>
          <w:szCs w:val="32"/>
          <w:shd w:val="clear" w:color="auto" w:fill="auto"/>
          <w:lang w:val="en-US" w:eastAsia="zh-CN"/>
        </w:rPr>
      </w:pPr>
      <w:r>
        <w:rPr>
          <w:rFonts w:hint="eastAsia" w:ascii="仿宋_GB2312" w:hAnsi="仿宋_GB2312" w:eastAsia="仿宋_GB2312" w:cs="仿宋_GB2312"/>
          <w:b/>
          <w:bCs/>
          <w:color w:val="auto"/>
          <w:sz w:val="32"/>
          <w:szCs w:val="32"/>
          <w:shd w:val="clear" w:color="auto" w:fill="auto"/>
          <w:lang w:val="en-US" w:eastAsia="zh-CN"/>
        </w:rPr>
        <w:t>第二十二条</w:t>
      </w:r>
      <w:r>
        <w:rPr>
          <w:rFonts w:hint="eastAsia" w:ascii="仿宋_GB2312" w:hAnsi="仿宋_GB2312" w:eastAsia="仿宋_GB2312" w:cs="仿宋_GB2312"/>
          <w:color w:val="auto"/>
          <w:sz w:val="32"/>
          <w:szCs w:val="32"/>
          <w:shd w:val="clear" w:color="auto" w:fill="auto"/>
          <w:lang w:val="en-US" w:eastAsia="zh-CN"/>
        </w:rPr>
        <w:t xml:space="preserve">  流转期限。</w:t>
      </w:r>
      <w:r>
        <w:rPr>
          <w:rFonts w:hint="eastAsia" w:ascii="仿宋_GB2312" w:hAnsi="仿宋_GB2312" w:eastAsia="仿宋_GB2312" w:cs="仿宋_GB2312"/>
          <w:i w:val="0"/>
          <w:caps w:val="0"/>
          <w:color w:val="auto"/>
          <w:spacing w:val="12"/>
          <w:sz w:val="32"/>
          <w:szCs w:val="32"/>
          <w:shd w:val="clear" w:color="auto" w:fill="auto"/>
        </w:rPr>
        <w:t>社会力量参与</w:t>
      </w:r>
      <w:r>
        <w:rPr>
          <w:rFonts w:hint="eastAsia" w:ascii="仿宋_GB2312" w:hAnsi="仿宋_GB2312" w:eastAsia="仿宋_GB2312" w:cs="仿宋_GB2312"/>
          <w:i w:val="0"/>
          <w:caps w:val="0"/>
          <w:color w:val="auto"/>
          <w:spacing w:val="12"/>
          <w:sz w:val="32"/>
          <w:szCs w:val="32"/>
          <w:shd w:val="clear" w:color="auto" w:fill="auto"/>
          <w:lang w:eastAsia="zh-CN"/>
        </w:rPr>
        <w:t>文物建筑</w:t>
      </w:r>
      <w:r>
        <w:rPr>
          <w:rFonts w:hint="eastAsia" w:ascii="仿宋_GB2312" w:hAnsi="仿宋_GB2312" w:eastAsia="仿宋_GB2312" w:cs="仿宋_GB2312"/>
          <w:i w:val="0"/>
          <w:caps w:val="0"/>
          <w:color w:val="auto"/>
          <w:spacing w:val="12"/>
          <w:sz w:val="32"/>
          <w:szCs w:val="32"/>
          <w:shd w:val="clear" w:color="auto" w:fill="auto"/>
        </w:rPr>
        <w:t>保护利用可获得该</w:t>
      </w:r>
      <w:r>
        <w:rPr>
          <w:rFonts w:hint="eastAsia" w:ascii="仿宋_GB2312" w:hAnsi="仿宋_GB2312" w:eastAsia="仿宋_GB2312" w:cs="仿宋_GB2312"/>
          <w:i w:val="0"/>
          <w:caps w:val="0"/>
          <w:color w:val="auto"/>
          <w:spacing w:val="12"/>
          <w:sz w:val="32"/>
          <w:szCs w:val="32"/>
          <w:shd w:val="clear" w:color="auto" w:fill="auto"/>
          <w:lang w:eastAsia="zh-CN"/>
        </w:rPr>
        <w:t>文物建筑</w:t>
      </w:r>
      <w:r>
        <w:rPr>
          <w:rFonts w:hint="eastAsia" w:ascii="仿宋_GB2312" w:hAnsi="仿宋_GB2312" w:eastAsia="仿宋_GB2312" w:cs="仿宋_GB2312"/>
          <w:i w:val="0"/>
          <w:caps w:val="0"/>
          <w:color w:val="auto"/>
          <w:spacing w:val="12"/>
          <w:sz w:val="32"/>
          <w:szCs w:val="32"/>
          <w:shd w:val="clear" w:color="auto" w:fill="auto"/>
        </w:rPr>
        <w:t>一定时限的管理使用权，管理使用期限最长不超过20年，县文物</w:t>
      </w:r>
      <w:r>
        <w:rPr>
          <w:rFonts w:hint="eastAsia" w:ascii="仿宋_GB2312" w:hAnsi="仿宋_GB2312" w:eastAsia="仿宋_GB2312" w:cs="仿宋_GB2312"/>
          <w:i w:val="0"/>
          <w:caps w:val="0"/>
          <w:color w:val="auto"/>
          <w:spacing w:val="12"/>
          <w:sz w:val="32"/>
          <w:szCs w:val="32"/>
          <w:shd w:val="clear" w:color="auto" w:fill="auto"/>
          <w:lang w:eastAsia="zh-CN"/>
        </w:rPr>
        <w:t>行政</w:t>
      </w:r>
      <w:r>
        <w:rPr>
          <w:rFonts w:hint="eastAsia" w:ascii="仿宋_GB2312" w:hAnsi="仿宋_GB2312" w:eastAsia="仿宋_GB2312" w:cs="仿宋_GB2312"/>
          <w:i w:val="0"/>
          <w:caps w:val="0"/>
          <w:color w:val="auto"/>
          <w:spacing w:val="12"/>
          <w:sz w:val="32"/>
          <w:szCs w:val="32"/>
          <w:shd w:val="clear" w:color="auto" w:fill="auto"/>
        </w:rPr>
        <w:t>部门定期组织对文物建筑保护利用状况开展评估。</w:t>
      </w:r>
    </w:p>
    <w:p>
      <w:pPr>
        <w:keepNext w:val="0"/>
        <w:keepLines w:val="0"/>
        <w:pageBreakBefore w:val="0"/>
        <w:kinsoku/>
        <w:wordWrap/>
        <w:overflowPunct/>
        <w:topLinePunct/>
        <w:autoSpaceDE/>
        <w:autoSpaceDN/>
        <w:bidi w:val="0"/>
        <w:adjustRightInd w:val="0"/>
        <w:snapToGrid w:val="0"/>
        <w:spacing w:line="586" w:lineRule="exact"/>
        <w:ind w:firstLine="643" w:firstLineChars="200"/>
        <w:textAlignment w:val="auto"/>
        <w:outlineLvl w:val="9"/>
        <w:rPr>
          <w:rFonts w:hint="eastAsia" w:ascii="仿宋_GB2312" w:hAnsi="仿宋_GB2312" w:eastAsia="仿宋_GB2312" w:cs="仿宋_GB2312"/>
          <w:color w:val="auto"/>
          <w:sz w:val="32"/>
          <w:szCs w:val="32"/>
          <w:shd w:val="clear" w:color="auto" w:fill="auto"/>
        </w:rPr>
      </w:pPr>
      <w:r>
        <w:rPr>
          <w:rFonts w:hint="eastAsia" w:ascii="仿宋_GB2312" w:hAnsi="仿宋_GB2312" w:eastAsia="仿宋_GB2312" w:cs="仿宋_GB2312"/>
          <w:b/>
          <w:bCs/>
          <w:color w:val="auto"/>
          <w:sz w:val="32"/>
          <w:szCs w:val="32"/>
          <w:shd w:val="clear" w:color="auto" w:fill="auto"/>
        </w:rPr>
        <w:t>第</w:t>
      </w:r>
      <w:r>
        <w:rPr>
          <w:rFonts w:hint="eastAsia" w:ascii="仿宋_GB2312" w:hAnsi="仿宋_GB2312" w:eastAsia="仿宋_GB2312" w:cs="仿宋_GB2312"/>
          <w:b/>
          <w:bCs/>
          <w:color w:val="auto"/>
          <w:sz w:val="32"/>
          <w:szCs w:val="32"/>
          <w:shd w:val="clear" w:color="auto" w:fill="auto"/>
          <w:lang w:eastAsia="zh-CN"/>
        </w:rPr>
        <w:t>二</w:t>
      </w:r>
      <w:r>
        <w:rPr>
          <w:rFonts w:hint="eastAsia" w:ascii="仿宋_GB2312" w:hAnsi="仿宋_GB2312" w:eastAsia="仿宋_GB2312" w:cs="仿宋_GB2312"/>
          <w:b/>
          <w:bCs/>
          <w:color w:val="auto"/>
          <w:sz w:val="32"/>
          <w:szCs w:val="32"/>
          <w:shd w:val="clear" w:color="auto" w:fill="auto"/>
        </w:rPr>
        <w:t>十</w:t>
      </w:r>
      <w:r>
        <w:rPr>
          <w:rFonts w:hint="eastAsia" w:ascii="仿宋_GB2312" w:hAnsi="仿宋_GB2312" w:eastAsia="仿宋_GB2312" w:cs="仿宋_GB2312"/>
          <w:b/>
          <w:bCs/>
          <w:color w:val="auto"/>
          <w:sz w:val="32"/>
          <w:szCs w:val="32"/>
          <w:shd w:val="clear" w:color="auto" w:fill="auto"/>
          <w:lang w:eastAsia="zh-CN"/>
        </w:rPr>
        <w:t>三</w:t>
      </w:r>
      <w:r>
        <w:rPr>
          <w:rFonts w:hint="eastAsia" w:ascii="仿宋_GB2312" w:hAnsi="仿宋_GB2312" w:eastAsia="仿宋_GB2312" w:cs="仿宋_GB2312"/>
          <w:b/>
          <w:bCs/>
          <w:color w:val="auto"/>
          <w:sz w:val="32"/>
          <w:szCs w:val="32"/>
          <w:shd w:val="clear" w:color="auto" w:fill="auto"/>
        </w:rPr>
        <w:t>条</w:t>
      </w:r>
      <w:r>
        <w:rPr>
          <w:rFonts w:hint="eastAsia" w:ascii="仿宋_GB2312" w:hAnsi="仿宋_GB2312" w:eastAsia="仿宋_GB2312" w:cs="仿宋_GB2312"/>
          <w:color w:val="auto"/>
          <w:sz w:val="32"/>
          <w:szCs w:val="32"/>
          <w:shd w:val="clear" w:color="auto" w:fill="auto"/>
          <w:lang w:val="en-US" w:eastAsia="zh-CN"/>
        </w:rPr>
        <w:t xml:space="preserve">  </w:t>
      </w:r>
      <w:r>
        <w:rPr>
          <w:rFonts w:hint="eastAsia" w:ascii="仿宋_GB2312" w:hAnsi="仿宋_GB2312" w:eastAsia="仿宋_GB2312" w:cs="仿宋_GB2312"/>
          <w:color w:val="auto"/>
          <w:sz w:val="32"/>
          <w:szCs w:val="32"/>
          <w:shd w:val="clear" w:color="auto" w:fill="auto"/>
          <w:lang w:eastAsia="zh-CN"/>
        </w:rPr>
        <w:t>流转方式。</w:t>
      </w:r>
      <w:r>
        <w:rPr>
          <w:rFonts w:hint="eastAsia" w:ascii="仿宋_GB2312" w:hAnsi="仿宋_GB2312" w:eastAsia="仿宋_GB2312" w:cs="仿宋_GB2312"/>
          <w:color w:val="auto"/>
          <w:sz w:val="32"/>
          <w:szCs w:val="32"/>
          <w:shd w:val="clear" w:color="auto" w:fill="auto"/>
        </w:rPr>
        <w:t>被</w:t>
      </w:r>
      <w:r>
        <w:rPr>
          <w:rFonts w:hint="eastAsia" w:ascii="仿宋_GB2312" w:hAnsi="仿宋_GB2312" w:eastAsia="仿宋_GB2312" w:cs="仿宋_GB2312"/>
          <w:color w:val="auto"/>
          <w:sz w:val="32"/>
          <w:szCs w:val="32"/>
          <w:shd w:val="clear" w:color="auto" w:fill="auto"/>
          <w:lang w:eastAsia="zh-CN"/>
        </w:rPr>
        <w:t>收购文物建筑</w:t>
      </w:r>
      <w:r>
        <w:rPr>
          <w:rFonts w:hint="eastAsia" w:ascii="仿宋_GB2312" w:hAnsi="仿宋_GB2312" w:eastAsia="仿宋_GB2312" w:cs="仿宋_GB2312"/>
          <w:color w:val="auto"/>
          <w:sz w:val="32"/>
          <w:szCs w:val="32"/>
          <w:shd w:val="clear" w:color="auto" w:fill="auto"/>
        </w:rPr>
        <w:t>和已流转使用权的</w:t>
      </w:r>
      <w:r>
        <w:rPr>
          <w:rFonts w:hint="eastAsia" w:ascii="仿宋_GB2312" w:hAnsi="仿宋_GB2312" w:eastAsia="仿宋_GB2312" w:cs="仿宋_GB2312"/>
          <w:color w:val="auto"/>
          <w:sz w:val="32"/>
          <w:szCs w:val="32"/>
          <w:shd w:val="clear" w:color="auto" w:fill="auto"/>
          <w:lang w:eastAsia="zh-CN"/>
        </w:rPr>
        <w:t>文物建筑</w:t>
      </w:r>
      <w:r>
        <w:rPr>
          <w:rFonts w:hint="eastAsia" w:ascii="仿宋_GB2312" w:hAnsi="仿宋_GB2312" w:eastAsia="仿宋_GB2312" w:cs="仿宋_GB2312"/>
          <w:color w:val="auto"/>
          <w:sz w:val="32"/>
          <w:szCs w:val="32"/>
          <w:shd w:val="clear" w:color="auto" w:fill="auto"/>
        </w:rPr>
        <w:t>，其后续保护和利用可参照但不限于以下类型：</w:t>
      </w:r>
    </w:p>
    <w:p>
      <w:pPr>
        <w:keepNext w:val="0"/>
        <w:keepLines w:val="0"/>
        <w:pageBreakBefore w:val="0"/>
        <w:kinsoku/>
        <w:wordWrap/>
        <w:overflowPunct/>
        <w:topLinePunct/>
        <w:autoSpaceDE/>
        <w:autoSpaceDN/>
        <w:bidi w:val="0"/>
        <w:adjustRightInd w:val="0"/>
        <w:snapToGrid w:val="0"/>
        <w:spacing w:line="560" w:lineRule="exact"/>
        <w:ind w:firstLine="640" w:firstLineChars="200"/>
        <w:textAlignment w:val="auto"/>
        <w:outlineLvl w:val="9"/>
        <w:rPr>
          <w:rFonts w:hint="eastAsia" w:ascii="仿宋_GB2312" w:hAnsi="仿宋_GB2312" w:eastAsia="仿宋_GB2312" w:cs="仿宋_GB2312"/>
          <w:color w:val="auto"/>
          <w:sz w:val="32"/>
          <w:szCs w:val="32"/>
          <w:shd w:val="clear" w:color="auto" w:fill="auto"/>
        </w:rPr>
      </w:pPr>
      <w:r>
        <w:rPr>
          <w:rFonts w:hint="eastAsia" w:ascii="仿宋_GB2312" w:hAnsi="仿宋_GB2312" w:eastAsia="仿宋_GB2312" w:cs="仿宋_GB2312"/>
          <w:color w:val="auto"/>
          <w:sz w:val="32"/>
          <w:szCs w:val="32"/>
          <w:shd w:val="clear" w:color="auto" w:fill="auto"/>
        </w:rPr>
        <w:t>（一）文化展示：文物价值、建筑特征、空间规模等方面具备条件的古建筑和近现代建筑，可作为博物馆、展示馆、美术馆</w:t>
      </w:r>
      <w:r>
        <w:rPr>
          <w:rFonts w:hint="eastAsia" w:ascii="仿宋_GB2312" w:hAnsi="仿宋_GB2312" w:eastAsia="仿宋_GB2312" w:cs="仿宋_GB2312"/>
          <w:color w:val="auto"/>
          <w:sz w:val="32"/>
          <w:szCs w:val="32"/>
          <w:shd w:val="clear" w:color="auto" w:fill="auto"/>
          <w:lang w:eastAsia="zh-CN"/>
        </w:rPr>
        <w:t>、非遗传习馆</w:t>
      </w:r>
      <w:r>
        <w:rPr>
          <w:rFonts w:hint="eastAsia" w:ascii="仿宋_GB2312" w:hAnsi="仿宋_GB2312" w:eastAsia="仿宋_GB2312" w:cs="仿宋_GB2312"/>
          <w:color w:val="auto"/>
          <w:sz w:val="32"/>
          <w:szCs w:val="32"/>
          <w:shd w:val="clear" w:color="auto" w:fill="auto"/>
        </w:rPr>
        <w:t>或科研展陈场所等，发挥文化传播、</w:t>
      </w:r>
      <w:r>
        <w:rPr>
          <w:rFonts w:hint="eastAsia" w:ascii="仿宋_GB2312" w:hAnsi="仿宋_GB2312" w:eastAsia="仿宋_GB2312" w:cs="仿宋_GB2312"/>
          <w:color w:val="auto"/>
          <w:sz w:val="32"/>
          <w:szCs w:val="32"/>
          <w:shd w:val="clear" w:color="auto" w:fill="auto"/>
          <w:lang w:eastAsia="zh-CN"/>
        </w:rPr>
        <w:t>技艺传承、</w:t>
      </w:r>
      <w:r>
        <w:rPr>
          <w:rFonts w:hint="eastAsia" w:ascii="仿宋_GB2312" w:hAnsi="仿宋_GB2312" w:eastAsia="仿宋_GB2312" w:cs="仿宋_GB2312"/>
          <w:color w:val="auto"/>
          <w:sz w:val="32"/>
          <w:szCs w:val="32"/>
          <w:shd w:val="clear" w:color="auto" w:fill="auto"/>
        </w:rPr>
        <w:t>科</w:t>
      </w:r>
      <w:r>
        <w:rPr>
          <w:rFonts w:hint="eastAsia" w:ascii="仿宋_GB2312" w:hAnsi="仿宋_GB2312" w:eastAsia="仿宋_GB2312" w:cs="仿宋_GB2312"/>
          <w:color w:val="auto"/>
          <w:sz w:val="32"/>
          <w:szCs w:val="32"/>
          <w:shd w:val="clear" w:color="auto" w:fill="auto"/>
          <w:lang w:eastAsia="zh-CN"/>
        </w:rPr>
        <w:t>学</w:t>
      </w:r>
      <w:r>
        <w:rPr>
          <w:rFonts w:hint="eastAsia" w:ascii="仿宋_GB2312" w:hAnsi="仿宋_GB2312" w:eastAsia="仿宋_GB2312" w:cs="仿宋_GB2312"/>
          <w:color w:val="auto"/>
          <w:sz w:val="32"/>
          <w:szCs w:val="32"/>
          <w:shd w:val="clear" w:color="auto" w:fill="auto"/>
        </w:rPr>
        <w:t>研</w:t>
      </w:r>
      <w:r>
        <w:rPr>
          <w:rFonts w:hint="eastAsia" w:ascii="仿宋_GB2312" w:hAnsi="仿宋_GB2312" w:eastAsia="仿宋_GB2312" w:cs="仿宋_GB2312"/>
          <w:color w:val="auto"/>
          <w:sz w:val="32"/>
          <w:szCs w:val="32"/>
          <w:shd w:val="clear" w:color="auto" w:fill="auto"/>
          <w:lang w:eastAsia="zh-CN"/>
        </w:rPr>
        <w:t>究</w:t>
      </w:r>
      <w:r>
        <w:rPr>
          <w:rFonts w:hint="eastAsia" w:ascii="仿宋_GB2312" w:hAnsi="仿宋_GB2312" w:eastAsia="仿宋_GB2312" w:cs="仿宋_GB2312"/>
          <w:color w:val="auto"/>
          <w:sz w:val="32"/>
          <w:szCs w:val="32"/>
          <w:shd w:val="clear" w:color="auto" w:fill="auto"/>
        </w:rPr>
        <w:t>和教育功能。</w:t>
      </w:r>
    </w:p>
    <w:p>
      <w:pPr>
        <w:keepNext w:val="0"/>
        <w:keepLines w:val="0"/>
        <w:pageBreakBefore w:val="0"/>
        <w:kinsoku/>
        <w:wordWrap/>
        <w:overflowPunct/>
        <w:topLinePunct/>
        <w:autoSpaceDE/>
        <w:autoSpaceDN/>
        <w:bidi w:val="0"/>
        <w:adjustRightInd w:val="0"/>
        <w:snapToGrid w:val="0"/>
        <w:spacing w:line="560" w:lineRule="exact"/>
        <w:ind w:firstLine="640" w:firstLineChars="200"/>
        <w:textAlignment w:val="auto"/>
        <w:outlineLvl w:val="9"/>
        <w:rPr>
          <w:rFonts w:hint="eastAsia" w:ascii="仿宋_GB2312" w:hAnsi="仿宋_GB2312" w:eastAsia="仿宋_GB2312" w:cs="仿宋_GB2312"/>
          <w:color w:val="auto"/>
          <w:sz w:val="32"/>
          <w:szCs w:val="32"/>
          <w:shd w:val="clear" w:color="auto" w:fill="auto"/>
        </w:rPr>
      </w:pPr>
      <w:r>
        <w:rPr>
          <w:rFonts w:hint="eastAsia" w:ascii="仿宋_GB2312" w:hAnsi="仿宋_GB2312" w:eastAsia="仿宋_GB2312" w:cs="仿宋_GB2312"/>
          <w:color w:val="auto"/>
          <w:sz w:val="32"/>
          <w:szCs w:val="32"/>
          <w:shd w:val="clear" w:color="auto" w:fill="auto"/>
        </w:rPr>
        <w:t>（二）经营服务：民居古建筑</w:t>
      </w:r>
      <w:r>
        <w:rPr>
          <w:rFonts w:hint="eastAsia" w:ascii="仿宋_GB2312" w:hAnsi="仿宋_GB2312" w:eastAsia="仿宋_GB2312" w:cs="仿宋_GB2312"/>
          <w:color w:val="auto"/>
          <w:sz w:val="32"/>
          <w:szCs w:val="32"/>
          <w:shd w:val="clear" w:color="auto" w:fill="auto"/>
          <w:lang w:eastAsia="zh-CN"/>
        </w:rPr>
        <w:t>类文物</w:t>
      </w:r>
      <w:r>
        <w:rPr>
          <w:rFonts w:hint="eastAsia" w:ascii="仿宋_GB2312" w:hAnsi="仿宋_GB2312" w:eastAsia="仿宋_GB2312" w:cs="仿宋_GB2312"/>
          <w:color w:val="auto"/>
          <w:sz w:val="32"/>
          <w:szCs w:val="32"/>
          <w:shd w:val="clear" w:color="auto" w:fill="auto"/>
        </w:rPr>
        <w:t>在确保安全的前提下，可作为小型宾馆、客栈、民宿、店铺、茶室、</w:t>
      </w:r>
      <w:r>
        <w:rPr>
          <w:rFonts w:hint="eastAsia" w:ascii="仿宋_GB2312" w:hAnsi="仿宋_GB2312" w:eastAsia="仿宋_GB2312" w:cs="仿宋_GB2312"/>
          <w:color w:val="auto"/>
          <w:sz w:val="32"/>
          <w:szCs w:val="32"/>
          <w:shd w:val="clear" w:color="auto" w:fill="auto"/>
          <w:lang w:eastAsia="zh-CN"/>
        </w:rPr>
        <w:t>文创产品、</w:t>
      </w:r>
      <w:r>
        <w:rPr>
          <w:rFonts w:hint="eastAsia" w:ascii="仿宋_GB2312" w:hAnsi="仿宋_GB2312" w:eastAsia="仿宋_GB2312" w:cs="仿宋_GB2312"/>
          <w:color w:val="auto"/>
          <w:sz w:val="32"/>
          <w:szCs w:val="32"/>
          <w:shd w:val="clear" w:color="auto" w:fill="auto"/>
        </w:rPr>
        <w:t>传统工艺作坊等经营服务场所，发挥服务功能。</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autoSpaceDE/>
        <w:autoSpaceDN/>
        <w:bidi w:val="0"/>
        <w:adjustRightInd w:val="0"/>
        <w:snapToGrid w:val="0"/>
        <w:spacing w:beforeAutospacing="0" w:afterAutospacing="0" w:line="560" w:lineRule="exact"/>
        <w:ind w:left="192" w:right="192" w:firstLine="643" w:firstLineChars="200"/>
        <w:jc w:val="both"/>
        <w:textAlignment w:val="auto"/>
        <w:outlineLvl w:val="9"/>
        <w:rPr>
          <w:rFonts w:hint="eastAsia" w:ascii="仿宋_GB2312" w:hAnsi="仿宋_GB2312" w:eastAsia="仿宋_GB2312" w:cs="仿宋_GB2312"/>
          <w:color w:val="auto"/>
          <w:sz w:val="32"/>
          <w:szCs w:val="32"/>
          <w:shd w:val="clear" w:color="auto" w:fill="auto"/>
        </w:rPr>
      </w:pPr>
      <w:r>
        <w:rPr>
          <w:rFonts w:hint="eastAsia" w:ascii="仿宋_GB2312" w:hAnsi="仿宋_GB2312" w:eastAsia="仿宋_GB2312" w:cs="仿宋_GB2312"/>
          <w:b/>
          <w:bCs/>
          <w:color w:val="auto"/>
          <w:sz w:val="32"/>
          <w:szCs w:val="32"/>
          <w:shd w:val="clear" w:color="auto" w:fill="auto"/>
        </w:rPr>
        <w:t>第</w:t>
      </w:r>
      <w:r>
        <w:rPr>
          <w:rFonts w:hint="eastAsia" w:ascii="仿宋_GB2312" w:hAnsi="仿宋_GB2312" w:eastAsia="仿宋_GB2312" w:cs="仿宋_GB2312"/>
          <w:b/>
          <w:bCs/>
          <w:color w:val="auto"/>
          <w:sz w:val="32"/>
          <w:szCs w:val="32"/>
          <w:shd w:val="clear" w:color="auto" w:fill="auto"/>
          <w:lang w:eastAsia="zh-CN"/>
        </w:rPr>
        <w:t>二</w:t>
      </w:r>
      <w:r>
        <w:rPr>
          <w:rFonts w:hint="eastAsia" w:ascii="仿宋_GB2312" w:hAnsi="仿宋_GB2312" w:eastAsia="仿宋_GB2312" w:cs="仿宋_GB2312"/>
          <w:b/>
          <w:bCs/>
          <w:color w:val="auto"/>
          <w:sz w:val="32"/>
          <w:szCs w:val="32"/>
          <w:shd w:val="clear" w:color="auto" w:fill="auto"/>
        </w:rPr>
        <w:t>十</w:t>
      </w:r>
      <w:r>
        <w:rPr>
          <w:rFonts w:hint="eastAsia" w:ascii="仿宋_GB2312" w:hAnsi="仿宋_GB2312" w:eastAsia="仿宋_GB2312" w:cs="仿宋_GB2312"/>
          <w:b/>
          <w:bCs/>
          <w:color w:val="auto"/>
          <w:sz w:val="32"/>
          <w:szCs w:val="32"/>
          <w:shd w:val="clear" w:color="auto" w:fill="auto"/>
          <w:lang w:eastAsia="zh-CN"/>
        </w:rPr>
        <w:t>四</w:t>
      </w:r>
      <w:r>
        <w:rPr>
          <w:rFonts w:hint="eastAsia" w:ascii="仿宋_GB2312" w:hAnsi="仿宋_GB2312" w:eastAsia="仿宋_GB2312" w:cs="仿宋_GB2312"/>
          <w:b/>
          <w:bCs/>
          <w:color w:val="auto"/>
          <w:sz w:val="32"/>
          <w:szCs w:val="32"/>
          <w:shd w:val="clear" w:color="auto" w:fill="auto"/>
        </w:rPr>
        <w:t>条</w:t>
      </w:r>
      <w:r>
        <w:rPr>
          <w:rFonts w:hint="eastAsia" w:ascii="仿宋_GB2312" w:hAnsi="仿宋_GB2312" w:eastAsia="仿宋_GB2312" w:cs="仿宋_GB2312"/>
          <w:color w:val="auto"/>
          <w:sz w:val="32"/>
          <w:szCs w:val="32"/>
          <w:shd w:val="clear" w:color="auto" w:fill="auto"/>
          <w:lang w:val="en-US" w:eastAsia="zh-CN"/>
        </w:rPr>
        <w:t xml:space="preserve">  </w:t>
      </w:r>
      <w:r>
        <w:rPr>
          <w:rFonts w:hint="eastAsia" w:ascii="仿宋_GB2312" w:hAnsi="仿宋_GB2312" w:eastAsia="仿宋_GB2312" w:cs="仿宋_GB2312"/>
          <w:color w:val="auto"/>
          <w:sz w:val="32"/>
          <w:szCs w:val="32"/>
          <w:shd w:val="clear" w:color="auto" w:fill="auto"/>
          <w:lang w:eastAsia="zh-CN"/>
        </w:rPr>
        <w:t>公布名录。</w:t>
      </w:r>
      <w:r>
        <w:rPr>
          <w:rFonts w:hint="eastAsia" w:ascii="仿宋_GB2312" w:hAnsi="仿宋_GB2312" w:eastAsia="仿宋_GB2312" w:cs="仿宋_GB2312"/>
          <w:i w:val="0"/>
          <w:caps w:val="0"/>
          <w:color w:val="auto"/>
          <w:spacing w:val="12"/>
          <w:sz w:val="32"/>
          <w:szCs w:val="32"/>
          <w:shd w:val="clear" w:color="auto" w:fill="auto"/>
        </w:rPr>
        <w:t>由县级文物</w:t>
      </w:r>
      <w:r>
        <w:rPr>
          <w:rFonts w:hint="eastAsia" w:ascii="仿宋_GB2312" w:hAnsi="仿宋_GB2312" w:eastAsia="仿宋_GB2312" w:cs="仿宋_GB2312"/>
          <w:i w:val="0"/>
          <w:caps w:val="0"/>
          <w:color w:val="auto"/>
          <w:spacing w:val="12"/>
          <w:sz w:val="32"/>
          <w:szCs w:val="32"/>
          <w:shd w:val="clear" w:color="auto" w:fill="auto"/>
          <w:lang w:eastAsia="zh-CN"/>
        </w:rPr>
        <w:t>行政</w:t>
      </w:r>
      <w:r>
        <w:rPr>
          <w:rFonts w:hint="eastAsia" w:ascii="仿宋_GB2312" w:hAnsi="仿宋_GB2312" w:eastAsia="仿宋_GB2312" w:cs="仿宋_GB2312"/>
          <w:i w:val="0"/>
          <w:caps w:val="0"/>
          <w:color w:val="auto"/>
          <w:spacing w:val="12"/>
          <w:sz w:val="32"/>
          <w:szCs w:val="32"/>
          <w:shd w:val="clear" w:color="auto" w:fill="auto"/>
        </w:rPr>
        <w:t>部门选择国有或集体所有的文物建筑，拟定引入社会力量参与保护利用的文物建筑名录，经同级人民政府同意并向社会公开发布。名录包括文物建筑简介、保护利用需求、所有人或使用人情况等基本信息。通过公开竞争方式，确定引入参与文物建筑保护利用的社会力量主体，并向社会公示。鼓励私人所有文物建筑纳入上述名录。</w:t>
      </w:r>
    </w:p>
    <w:p>
      <w:pPr>
        <w:keepNext w:val="0"/>
        <w:keepLines w:val="0"/>
        <w:pageBreakBefore w:val="0"/>
        <w:kinsoku/>
        <w:wordWrap/>
        <w:overflowPunct/>
        <w:topLinePunct/>
        <w:autoSpaceDE/>
        <w:autoSpaceDN/>
        <w:bidi w:val="0"/>
        <w:adjustRightInd w:val="0"/>
        <w:snapToGrid w:val="0"/>
        <w:spacing w:line="560" w:lineRule="exact"/>
        <w:ind w:firstLine="643" w:firstLineChars="200"/>
        <w:textAlignment w:val="auto"/>
        <w:outlineLvl w:val="9"/>
        <w:rPr>
          <w:rFonts w:hint="eastAsia" w:ascii="仿宋_GB2312" w:hAnsi="仿宋_GB2312" w:eastAsia="仿宋_GB2312" w:cs="仿宋_GB2312"/>
          <w:color w:val="auto"/>
          <w:sz w:val="32"/>
          <w:szCs w:val="32"/>
          <w:shd w:val="clear" w:color="auto" w:fill="auto"/>
        </w:rPr>
      </w:pPr>
      <w:r>
        <w:rPr>
          <w:rFonts w:hint="eastAsia" w:ascii="仿宋_GB2312" w:hAnsi="仿宋_GB2312" w:eastAsia="仿宋_GB2312" w:cs="仿宋_GB2312"/>
          <w:b/>
          <w:bCs/>
          <w:color w:val="auto"/>
          <w:sz w:val="32"/>
          <w:szCs w:val="32"/>
          <w:shd w:val="clear" w:color="auto" w:fill="auto"/>
          <w:lang w:eastAsia="zh-CN"/>
        </w:rPr>
        <w:t>第二十五条</w:t>
      </w:r>
      <w:r>
        <w:rPr>
          <w:rFonts w:hint="eastAsia" w:ascii="仿宋_GB2312" w:hAnsi="仿宋_GB2312" w:eastAsia="仿宋_GB2312" w:cs="仿宋_GB2312"/>
          <w:color w:val="auto"/>
          <w:sz w:val="32"/>
          <w:szCs w:val="32"/>
          <w:shd w:val="clear" w:color="auto" w:fill="auto"/>
          <w:lang w:val="en-US" w:eastAsia="zh-CN"/>
        </w:rPr>
        <w:t xml:space="preserve">  </w:t>
      </w:r>
      <w:r>
        <w:rPr>
          <w:rFonts w:hint="eastAsia" w:ascii="仿宋_GB2312" w:hAnsi="仿宋_GB2312" w:eastAsia="仿宋_GB2312" w:cs="仿宋_GB2312"/>
          <w:color w:val="auto"/>
          <w:sz w:val="32"/>
          <w:szCs w:val="32"/>
          <w:shd w:val="clear" w:color="auto" w:fill="auto"/>
        </w:rPr>
        <w:t>实施</w:t>
      </w:r>
      <w:r>
        <w:rPr>
          <w:rFonts w:hint="eastAsia" w:ascii="仿宋_GB2312" w:hAnsi="仿宋_GB2312" w:eastAsia="仿宋_GB2312" w:cs="仿宋_GB2312"/>
          <w:color w:val="auto"/>
          <w:sz w:val="32"/>
          <w:szCs w:val="32"/>
          <w:shd w:val="clear" w:color="auto" w:fill="auto"/>
          <w:lang w:eastAsia="zh-CN"/>
        </w:rPr>
        <w:t>文物建筑</w:t>
      </w:r>
      <w:r>
        <w:rPr>
          <w:rFonts w:hint="eastAsia" w:ascii="仿宋_GB2312" w:hAnsi="仿宋_GB2312" w:eastAsia="仿宋_GB2312" w:cs="仿宋_GB2312"/>
          <w:color w:val="auto"/>
          <w:sz w:val="32"/>
          <w:szCs w:val="32"/>
          <w:shd w:val="clear" w:color="auto" w:fill="auto"/>
        </w:rPr>
        <w:t>的利用开放应体现公益性和社会性导向，鼓励社会力量参与</w:t>
      </w:r>
      <w:r>
        <w:rPr>
          <w:rFonts w:hint="eastAsia" w:ascii="仿宋_GB2312" w:hAnsi="仿宋_GB2312" w:eastAsia="仿宋_GB2312" w:cs="仿宋_GB2312"/>
          <w:color w:val="auto"/>
          <w:sz w:val="32"/>
          <w:szCs w:val="32"/>
          <w:shd w:val="clear" w:color="auto" w:fill="auto"/>
          <w:lang w:eastAsia="zh-CN"/>
        </w:rPr>
        <w:t>文物建筑</w:t>
      </w:r>
      <w:r>
        <w:rPr>
          <w:rFonts w:hint="eastAsia" w:ascii="仿宋_GB2312" w:hAnsi="仿宋_GB2312" w:eastAsia="仿宋_GB2312" w:cs="仿宋_GB2312"/>
          <w:color w:val="auto"/>
          <w:sz w:val="32"/>
          <w:szCs w:val="32"/>
          <w:shd w:val="clear" w:color="auto" w:fill="auto"/>
        </w:rPr>
        <w:t>开放工作，</w:t>
      </w:r>
      <w:r>
        <w:rPr>
          <w:rFonts w:hint="eastAsia" w:ascii="仿宋_GB2312" w:hAnsi="仿宋_GB2312" w:eastAsia="仿宋_GB2312" w:cs="仿宋_GB2312"/>
          <w:color w:val="auto"/>
          <w:sz w:val="32"/>
          <w:szCs w:val="32"/>
          <w:shd w:val="clear" w:color="auto" w:fill="auto"/>
          <w:lang w:eastAsia="zh-CN"/>
        </w:rPr>
        <w:t>鼓励</w:t>
      </w:r>
      <w:r>
        <w:rPr>
          <w:rFonts w:hint="eastAsia" w:ascii="仿宋_GB2312" w:hAnsi="仿宋_GB2312" w:eastAsia="仿宋_GB2312" w:cs="仿宋_GB2312"/>
          <w:color w:val="auto"/>
          <w:sz w:val="32"/>
          <w:szCs w:val="32"/>
          <w:shd w:val="clear" w:color="auto" w:fill="auto"/>
        </w:rPr>
        <w:t>成立志愿者</w:t>
      </w:r>
      <w:r>
        <w:rPr>
          <w:rFonts w:hint="eastAsia" w:ascii="仿宋_GB2312" w:hAnsi="仿宋_GB2312" w:eastAsia="仿宋_GB2312" w:cs="仿宋_GB2312"/>
          <w:color w:val="auto"/>
          <w:sz w:val="32"/>
          <w:szCs w:val="32"/>
          <w:shd w:val="clear" w:color="auto" w:fill="auto"/>
          <w:lang w:eastAsia="zh-CN"/>
        </w:rPr>
        <w:t>服务</w:t>
      </w:r>
      <w:r>
        <w:rPr>
          <w:rFonts w:hint="eastAsia" w:ascii="仿宋_GB2312" w:hAnsi="仿宋_GB2312" w:eastAsia="仿宋_GB2312" w:cs="仿宋_GB2312"/>
          <w:color w:val="auto"/>
          <w:sz w:val="32"/>
          <w:szCs w:val="32"/>
          <w:shd w:val="clear" w:color="auto" w:fill="auto"/>
        </w:rPr>
        <w:t>队伍，提供义务讲解和免费服务。</w:t>
      </w:r>
    </w:p>
    <w:p>
      <w:pPr>
        <w:keepNext w:val="0"/>
        <w:keepLines w:val="0"/>
        <w:pageBreakBefore w:val="0"/>
        <w:kinsoku/>
        <w:wordWrap/>
        <w:overflowPunct/>
        <w:topLinePunct/>
        <w:autoSpaceDE/>
        <w:autoSpaceDN/>
        <w:bidi w:val="0"/>
        <w:adjustRightInd w:val="0"/>
        <w:snapToGrid w:val="0"/>
        <w:spacing w:line="560" w:lineRule="exact"/>
        <w:ind w:firstLine="643" w:firstLineChars="200"/>
        <w:textAlignment w:val="auto"/>
        <w:outlineLvl w:val="9"/>
        <w:rPr>
          <w:rFonts w:hint="eastAsia" w:ascii="仿宋_GB2312" w:hAnsi="仿宋_GB2312" w:eastAsia="仿宋_GB2312" w:cs="仿宋_GB2312"/>
          <w:color w:val="auto"/>
          <w:sz w:val="32"/>
          <w:szCs w:val="32"/>
          <w:shd w:val="clear" w:color="auto" w:fill="auto"/>
        </w:rPr>
      </w:pPr>
      <w:r>
        <w:rPr>
          <w:rFonts w:hint="eastAsia" w:ascii="仿宋_GB2312" w:hAnsi="仿宋_GB2312" w:eastAsia="仿宋_GB2312" w:cs="仿宋_GB2312"/>
          <w:b/>
          <w:bCs/>
          <w:color w:val="auto"/>
          <w:sz w:val="32"/>
          <w:szCs w:val="32"/>
          <w:shd w:val="clear" w:color="auto" w:fill="auto"/>
        </w:rPr>
        <w:t>第</w:t>
      </w:r>
      <w:r>
        <w:rPr>
          <w:rFonts w:hint="eastAsia" w:ascii="仿宋_GB2312" w:hAnsi="仿宋_GB2312" w:eastAsia="仿宋_GB2312" w:cs="仿宋_GB2312"/>
          <w:b/>
          <w:bCs/>
          <w:color w:val="auto"/>
          <w:sz w:val="32"/>
          <w:szCs w:val="32"/>
          <w:shd w:val="clear" w:color="auto" w:fill="auto"/>
          <w:lang w:eastAsia="zh-CN"/>
        </w:rPr>
        <w:t>二十六</w:t>
      </w:r>
      <w:r>
        <w:rPr>
          <w:rFonts w:hint="eastAsia" w:ascii="仿宋_GB2312" w:hAnsi="仿宋_GB2312" w:eastAsia="仿宋_GB2312" w:cs="仿宋_GB2312"/>
          <w:b/>
          <w:bCs/>
          <w:color w:val="auto"/>
          <w:sz w:val="32"/>
          <w:szCs w:val="32"/>
          <w:shd w:val="clear" w:color="auto" w:fill="auto"/>
        </w:rPr>
        <w:t>条</w:t>
      </w:r>
      <w:r>
        <w:rPr>
          <w:rFonts w:hint="eastAsia" w:ascii="仿宋_GB2312" w:hAnsi="仿宋_GB2312" w:eastAsia="仿宋_GB2312" w:cs="仿宋_GB2312"/>
          <w:color w:val="auto"/>
          <w:sz w:val="32"/>
          <w:szCs w:val="32"/>
          <w:shd w:val="clear" w:color="auto" w:fill="auto"/>
          <w:lang w:val="en-US" w:eastAsia="zh-CN"/>
        </w:rPr>
        <w:t xml:space="preserve">  </w:t>
      </w:r>
      <w:r>
        <w:rPr>
          <w:rFonts w:hint="eastAsia" w:ascii="仿宋_GB2312" w:hAnsi="仿宋_GB2312" w:eastAsia="仿宋_GB2312" w:cs="仿宋_GB2312"/>
          <w:color w:val="auto"/>
          <w:sz w:val="32"/>
          <w:szCs w:val="32"/>
          <w:shd w:val="clear" w:color="auto" w:fill="auto"/>
        </w:rPr>
        <w:t>实施</w:t>
      </w:r>
      <w:r>
        <w:rPr>
          <w:rFonts w:hint="eastAsia" w:ascii="仿宋_GB2312" w:hAnsi="仿宋_GB2312" w:eastAsia="仿宋_GB2312" w:cs="仿宋_GB2312"/>
          <w:color w:val="auto"/>
          <w:sz w:val="32"/>
          <w:szCs w:val="32"/>
          <w:shd w:val="clear" w:color="auto" w:fill="auto"/>
          <w:lang w:eastAsia="zh-CN"/>
        </w:rPr>
        <w:t>文物建筑</w:t>
      </w:r>
      <w:r>
        <w:rPr>
          <w:rFonts w:hint="eastAsia" w:ascii="仿宋_GB2312" w:hAnsi="仿宋_GB2312" w:eastAsia="仿宋_GB2312" w:cs="仿宋_GB2312"/>
          <w:color w:val="auto"/>
          <w:sz w:val="32"/>
          <w:szCs w:val="32"/>
          <w:shd w:val="clear" w:color="auto" w:fill="auto"/>
        </w:rPr>
        <w:t>开放利用的各利益相关方可通过签订协议等方式确保各方合法权益。用于经营性的</w:t>
      </w:r>
      <w:r>
        <w:rPr>
          <w:rFonts w:hint="eastAsia" w:ascii="仿宋_GB2312" w:hAnsi="仿宋_GB2312" w:eastAsia="仿宋_GB2312" w:cs="仿宋_GB2312"/>
          <w:color w:val="auto"/>
          <w:sz w:val="32"/>
          <w:szCs w:val="32"/>
          <w:shd w:val="clear" w:color="auto" w:fill="auto"/>
          <w:lang w:eastAsia="zh-CN"/>
        </w:rPr>
        <w:t>文物建筑</w:t>
      </w:r>
      <w:r>
        <w:rPr>
          <w:rFonts w:hint="eastAsia" w:ascii="仿宋_GB2312" w:hAnsi="仿宋_GB2312" w:eastAsia="仿宋_GB2312" w:cs="仿宋_GB2312"/>
          <w:color w:val="auto"/>
          <w:sz w:val="32"/>
          <w:szCs w:val="32"/>
          <w:shd w:val="clear" w:color="auto" w:fill="auto"/>
        </w:rPr>
        <w:t>开放利用收益应有一定比例用于文物建筑的日常保养维护。</w:t>
      </w:r>
    </w:p>
    <w:p>
      <w:pPr>
        <w:keepNext w:val="0"/>
        <w:keepLines w:val="0"/>
        <w:pageBreakBefore w:val="0"/>
        <w:kinsoku/>
        <w:wordWrap/>
        <w:overflowPunct/>
        <w:topLinePunct/>
        <w:autoSpaceDE/>
        <w:autoSpaceDN/>
        <w:bidi w:val="0"/>
        <w:adjustRightInd w:val="0"/>
        <w:snapToGrid w:val="0"/>
        <w:spacing w:line="560" w:lineRule="exact"/>
        <w:ind w:firstLine="643" w:firstLineChars="200"/>
        <w:textAlignment w:val="auto"/>
        <w:outlineLvl w:val="9"/>
        <w:rPr>
          <w:rFonts w:hint="eastAsia" w:ascii="仿宋_GB2312" w:hAnsi="仿宋_GB2312" w:eastAsia="仿宋_GB2312" w:cs="仿宋_GB2312"/>
          <w:color w:val="auto"/>
          <w:sz w:val="32"/>
          <w:szCs w:val="32"/>
          <w:shd w:val="clear" w:color="auto" w:fill="auto"/>
        </w:rPr>
      </w:pPr>
      <w:r>
        <w:rPr>
          <w:rFonts w:hint="eastAsia" w:ascii="仿宋_GB2312" w:hAnsi="仿宋_GB2312" w:eastAsia="仿宋_GB2312" w:cs="仿宋_GB2312"/>
          <w:b/>
          <w:bCs/>
          <w:color w:val="auto"/>
          <w:sz w:val="32"/>
          <w:szCs w:val="32"/>
          <w:shd w:val="clear" w:color="auto" w:fill="auto"/>
        </w:rPr>
        <w:t>第</w:t>
      </w:r>
      <w:r>
        <w:rPr>
          <w:rFonts w:hint="eastAsia" w:ascii="仿宋_GB2312" w:hAnsi="仿宋_GB2312" w:eastAsia="仿宋_GB2312" w:cs="仿宋_GB2312"/>
          <w:b/>
          <w:bCs/>
          <w:color w:val="auto"/>
          <w:sz w:val="32"/>
          <w:szCs w:val="32"/>
          <w:shd w:val="clear" w:color="auto" w:fill="auto"/>
          <w:lang w:eastAsia="zh-CN"/>
        </w:rPr>
        <w:t>二十七</w:t>
      </w:r>
      <w:r>
        <w:rPr>
          <w:rFonts w:hint="eastAsia" w:ascii="仿宋_GB2312" w:hAnsi="仿宋_GB2312" w:eastAsia="仿宋_GB2312" w:cs="仿宋_GB2312"/>
          <w:b/>
          <w:bCs/>
          <w:color w:val="auto"/>
          <w:sz w:val="32"/>
          <w:szCs w:val="32"/>
          <w:shd w:val="clear" w:color="auto" w:fill="auto"/>
        </w:rPr>
        <w:t>条</w:t>
      </w:r>
      <w:r>
        <w:rPr>
          <w:rFonts w:hint="eastAsia" w:ascii="仿宋_GB2312" w:hAnsi="仿宋_GB2312" w:eastAsia="仿宋_GB2312" w:cs="仿宋_GB2312"/>
          <w:color w:val="auto"/>
          <w:sz w:val="32"/>
          <w:szCs w:val="32"/>
          <w:shd w:val="clear" w:color="auto" w:fill="auto"/>
          <w:lang w:val="en-US" w:eastAsia="zh-CN"/>
        </w:rPr>
        <w:t xml:space="preserve">  文物建筑开放利用不得对文物建筑造成损坏，文物建筑经营使用人不得影响文物安全，文物建筑所有人对其流转给他人的文物建筑造成的安全问题承担连带责任。</w:t>
      </w:r>
    </w:p>
    <w:p>
      <w:pPr>
        <w:pStyle w:val="6"/>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autoSpaceDE/>
        <w:autoSpaceDN/>
        <w:bidi w:val="0"/>
        <w:adjustRightInd w:val="0"/>
        <w:snapToGrid w:val="0"/>
        <w:spacing w:beforeAutospacing="0" w:afterAutospacing="0" w:line="560" w:lineRule="exact"/>
        <w:ind w:right="0" w:rightChars="0"/>
        <w:jc w:val="center"/>
        <w:textAlignment w:val="auto"/>
        <w:outlineLvl w:val="9"/>
        <w:rPr>
          <w:rFonts w:hint="eastAsia" w:ascii="黑体" w:hAnsi="黑体" w:eastAsia="黑体" w:cs="黑体"/>
          <w:b w:val="0"/>
          <w:bCs w:val="0"/>
          <w:color w:val="auto"/>
          <w:sz w:val="32"/>
          <w:szCs w:val="32"/>
          <w:shd w:val="clear" w:color="auto" w:fill="auto"/>
          <w:lang w:eastAsia="zh-CN"/>
        </w:rPr>
      </w:pPr>
    </w:p>
    <w:p>
      <w:pPr>
        <w:pStyle w:val="6"/>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autoSpaceDE/>
        <w:autoSpaceDN/>
        <w:bidi w:val="0"/>
        <w:adjustRightInd w:val="0"/>
        <w:snapToGrid w:val="0"/>
        <w:spacing w:beforeAutospacing="0" w:afterAutospacing="0" w:line="560" w:lineRule="exact"/>
        <w:ind w:right="0" w:rightChars="0"/>
        <w:jc w:val="center"/>
        <w:textAlignment w:val="auto"/>
        <w:outlineLvl w:val="9"/>
        <w:rPr>
          <w:rFonts w:hint="eastAsia" w:ascii="黑体" w:hAnsi="黑体" w:eastAsia="黑体" w:cs="黑体"/>
          <w:b w:val="0"/>
          <w:bCs w:val="0"/>
          <w:color w:val="auto"/>
          <w:sz w:val="32"/>
          <w:szCs w:val="32"/>
          <w:shd w:val="clear" w:color="auto" w:fill="auto"/>
          <w:lang w:eastAsia="zh-CN"/>
        </w:rPr>
      </w:pPr>
      <w:r>
        <w:rPr>
          <w:rFonts w:hint="eastAsia" w:ascii="黑体" w:hAnsi="黑体" w:eastAsia="黑体" w:cs="黑体"/>
          <w:b w:val="0"/>
          <w:bCs w:val="0"/>
          <w:color w:val="auto"/>
          <w:sz w:val="32"/>
          <w:szCs w:val="32"/>
          <w:shd w:val="clear" w:color="auto" w:fill="auto"/>
          <w:lang w:eastAsia="zh-CN"/>
        </w:rPr>
        <w:t>第四章</w:t>
      </w:r>
      <w:r>
        <w:rPr>
          <w:rFonts w:hint="eastAsia" w:ascii="黑体" w:hAnsi="黑体" w:eastAsia="黑体" w:cs="黑体"/>
          <w:b w:val="0"/>
          <w:bCs w:val="0"/>
          <w:color w:val="auto"/>
          <w:sz w:val="32"/>
          <w:szCs w:val="32"/>
          <w:shd w:val="clear" w:color="auto" w:fill="auto"/>
          <w:lang w:val="en-US" w:eastAsia="zh-CN"/>
        </w:rPr>
        <w:t xml:space="preserve">  </w:t>
      </w:r>
      <w:r>
        <w:rPr>
          <w:rFonts w:hint="eastAsia" w:ascii="黑体" w:hAnsi="黑体" w:eastAsia="黑体" w:cs="黑体"/>
          <w:b w:val="0"/>
          <w:bCs w:val="0"/>
          <w:color w:val="auto"/>
          <w:sz w:val="32"/>
          <w:szCs w:val="32"/>
          <w:shd w:val="clear" w:color="auto" w:fill="auto"/>
          <w:lang w:eastAsia="zh-CN"/>
        </w:rPr>
        <w:t>职责分工</w:t>
      </w:r>
    </w:p>
    <w:p>
      <w:pPr>
        <w:keepNext w:val="0"/>
        <w:keepLines w:val="0"/>
        <w:pageBreakBefore w:val="0"/>
        <w:kinsoku/>
        <w:wordWrap/>
        <w:overflowPunct/>
        <w:topLinePunct/>
        <w:autoSpaceDE/>
        <w:autoSpaceDN/>
        <w:bidi w:val="0"/>
        <w:adjustRightInd w:val="0"/>
        <w:snapToGrid w:val="0"/>
        <w:spacing w:line="560" w:lineRule="exact"/>
        <w:ind w:firstLine="643" w:firstLineChars="200"/>
        <w:textAlignment w:val="auto"/>
        <w:outlineLvl w:val="9"/>
        <w:rPr>
          <w:rFonts w:hint="eastAsia" w:ascii="仿宋_GB2312" w:hAnsi="仿宋_GB2312" w:eastAsia="仿宋_GB2312" w:cs="仿宋_GB2312"/>
          <w:color w:val="auto"/>
          <w:sz w:val="32"/>
          <w:szCs w:val="32"/>
          <w:shd w:val="clear" w:color="auto" w:fill="auto"/>
          <w:lang w:eastAsia="zh-CN"/>
        </w:rPr>
      </w:pPr>
      <w:r>
        <w:rPr>
          <w:rFonts w:hint="eastAsia" w:ascii="仿宋_GB2312" w:hAnsi="仿宋_GB2312" w:eastAsia="仿宋_GB2312" w:cs="仿宋_GB2312"/>
          <w:b/>
          <w:bCs/>
          <w:color w:val="auto"/>
          <w:sz w:val="32"/>
          <w:szCs w:val="32"/>
          <w:shd w:val="clear" w:color="auto" w:fill="auto"/>
        </w:rPr>
        <w:t>第</w:t>
      </w:r>
      <w:r>
        <w:rPr>
          <w:rFonts w:hint="eastAsia" w:ascii="仿宋_GB2312" w:hAnsi="仿宋_GB2312" w:eastAsia="仿宋_GB2312" w:cs="仿宋_GB2312"/>
          <w:b/>
          <w:bCs/>
          <w:color w:val="auto"/>
          <w:sz w:val="32"/>
          <w:szCs w:val="32"/>
          <w:shd w:val="clear" w:color="auto" w:fill="auto"/>
          <w:lang w:eastAsia="zh-CN"/>
        </w:rPr>
        <w:t>二十八</w:t>
      </w:r>
      <w:r>
        <w:rPr>
          <w:rFonts w:hint="eastAsia" w:ascii="仿宋_GB2312" w:hAnsi="仿宋_GB2312" w:eastAsia="仿宋_GB2312" w:cs="仿宋_GB2312"/>
          <w:b/>
          <w:bCs/>
          <w:color w:val="auto"/>
          <w:sz w:val="32"/>
          <w:szCs w:val="32"/>
          <w:shd w:val="clear" w:color="auto" w:fill="auto"/>
        </w:rPr>
        <w:t>条</w:t>
      </w:r>
      <w:r>
        <w:rPr>
          <w:rFonts w:hint="eastAsia" w:ascii="仿宋_GB2312" w:hAnsi="仿宋_GB2312" w:eastAsia="仿宋_GB2312" w:cs="仿宋_GB2312"/>
          <w:color w:val="auto"/>
          <w:sz w:val="32"/>
          <w:szCs w:val="32"/>
          <w:shd w:val="clear" w:color="auto" w:fill="auto"/>
          <w:lang w:val="en-US" w:eastAsia="zh-CN"/>
        </w:rPr>
        <w:t xml:space="preserve">  </w:t>
      </w:r>
      <w:r>
        <w:rPr>
          <w:rFonts w:hint="eastAsia" w:ascii="仿宋_GB2312" w:hAnsi="仿宋_GB2312" w:eastAsia="仿宋_GB2312" w:cs="仿宋_GB2312"/>
          <w:color w:val="auto"/>
          <w:sz w:val="32"/>
          <w:szCs w:val="32"/>
          <w:shd w:val="clear" w:color="auto" w:fill="auto"/>
          <w:lang w:eastAsia="zh-CN"/>
        </w:rPr>
        <w:t>县人民政府统一领导全县非国有文物建筑产权收购补偿置换流转工作。县文物保护委员会指导并成立专门的工作机构，负责文物产权收购补偿、安置、使用权流转工作的组织实施。</w:t>
      </w:r>
    </w:p>
    <w:p>
      <w:pPr>
        <w:keepNext w:val="0"/>
        <w:keepLines w:val="0"/>
        <w:pageBreakBefore w:val="0"/>
        <w:kinsoku/>
        <w:wordWrap/>
        <w:overflowPunct/>
        <w:topLinePunct/>
        <w:autoSpaceDE/>
        <w:autoSpaceDN/>
        <w:bidi w:val="0"/>
        <w:adjustRightInd w:val="0"/>
        <w:snapToGrid w:val="0"/>
        <w:spacing w:line="586" w:lineRule="exact"/>
        <w:ind w:firstLine="640" w:firstLineChars="200"/>
        <w:textAlignment w:val="auto"/>
        <w:outlineLvl w:val="9"/>
        <w:rPr>
          <w:rFonts w:hint="eastAsia" w:ascii="仿宋_GB2312" w:hAnsi="仿宋_GB2312" w:eastAsia="仿宋_GB2312" w:cs="仿宋_GB2312"/>
          <w:color w:val="auto"/>
          <w:sz w:val="32"/>
          <w:szCs w:val="32"/>
          <w:shd w:val="clear" w:color="auto" w:fill="auto"/>
        </w:rPr>
      </w:pPr>
      <w:r>
        <w:rPr>
          <w:rFonts w:hint="eastAsia" w:ascii="仿宋_GB2312" w:hAnsi="仿宋_GB2312" w:eastAsia="仿宋_GB2312" w:cs="仿宋_GB2312"/>
          <w:color w:val="auto"/>
          <w:sz w:val="32"/>
          <w:szCs w:val="32"/>
          <w:shd w:val="clear" w:color="auto" w:fill="auto"/>
        </w:rPr>
        <w:t>乡镇人民政府（街道办事处）具体负责</w:t>
      </w:r>
      <w:r>
        <w:rPr>
          <w:rFonts w:hint="eastAsia" w:ascii="仿宋_GB2312" w:hAnsi="仿宋_GB2312" w:eastAsia="仿宋_GB2312" w:cs="仿宋_GB2312"/>
          <w:color w:val="auto"/>
          <w:sz w:val="32"/>
          <w:szCs w:val="32"/>
          <w:shd w:val="clear" w:color="auto" w:fill="auto"/>
          <w:lang w:eastAsia="zh-CN"/>
        </w:rPr>
        <w:t>文物建筑产权</w:t>
      </w:r>
      <w:r>
        <w:rPr>
          <w:rFonts w:hint="eastAsia" w:ascii="仿宋_GB2312" w:hAnsi="仿宋_GB2312" w:eastAsia="仿宋_GB2312" w:cs="仿宋_GB2312"/>
          <w:color w:val="auto"/>
          <w:sz w:val="32"/>
          <w:szCs w:val="32"/>
          <w:shd w:val="clear" w:color="auto" w:fill="auto"/>
        </w:rPr>
        <w:t>收</w:t>
      </w:r>
      <w:r>
        <w:rPr>
          <w:rFonts w:hint="eastAsia" w:ascii="仿宋_GB2312" w:hAnsi="仿宋_GB2312" w:eastAsia="仿宋_GB2312" w:cs="仿宋_GB2312"/>
          <w:color w:val="auto"/>
          <w:sz w:val="32"/>
          <w:szCs w:val="32"/>
          <w:shd w:val="clear" w:color="auto" w:fill="auto"/>
          <w:lang w:eastAsia="zh-CN"/>
        </w:rPr>
        <w:t>购补偿、安置</w:t>
      </w:r>
      <w:r>
        <w:rPr>
          <w:rFonts w:hint="eastAsia" w:ascii="仿宋_GB2312" w:hAnsi="仿宋_GB2312" w:eastAsia="仿宋_GB2312" w:cs="仿宋_GB2312"/>
          <w:color w:val="auto"/>
          <w:sz w:val="32"/>
          <w:szCs w:val="32"/>
          <w:shd w:val="clear" w:color="auto" w:fill="auto"/>
        </w:rPr>
        <w:t>和流转</w:t>
      </w:r>
      <w:r>
        <w:rPr>
          <w:rFonts w:hint="eastAsia" w:ascii="仿宋_GB2312" w:hAnsi="仿宋_GB2312" w:eastAsia="仿宋_GB2312" w:cs="仿宋_GB2312"/>
          <w:color w:val="auto"/>
          <w:sz w:val="32"/>
          <w:szCs w:val="32"/>
          <w:shd w:val="clear" w:color="auto" w:fill="auto"/>
          <w:lang w:eastAsia="zh-CN"/>
        </w:rPr>
        <w:t>工作</w:t>
      </w:r>
      <w:r>
        <w:rPr>
          <w:rFonts w:hint="eastAsia" w:ascii="仿宋_GB2312" w:hAnsi="仿宋_GB2312" w:eastAsia="仿宋_GB2312" w:cs="仿宋_GB2312"/>
          <w:color w:val="auto"/>
          <w:sz w:val="32"/>
          <w:szCs w:val="32"/>
          <w:shd w:val="clear" w:color="auto" w:fill="auto"/>
        </w:rPr>
        <w:t>的</w:t>
      </w:r>
      <w:r>
        <w:rPr>
          <w:rFonts w:hint="eastAsia" w:ascii="仿宋_GB2312" w:hAnsi="仿宋_GB2312" w:eastAsia="仿宋_GB2312" w:cs="仿宋_GB2312"/>
          <w:color w:val="auto"/>
          <w:sz w:val="32"/>
          <w:szCs w:val="32"/>
          <w:shd w:val="clear" w:color="auto" w:fill="auto"/>
          <w:lang w:eastAsia="zh-CN"/>
        </w:rPr>
        <w:t>实施，包括前期摸底调查、群众工作、</w:t>
      </w:r>
      <w:r>
        <w:rPr>
          <w:rFonts w:hint="eastAsia" w:ascii="仿宋_GB2312" w:hAnsi="仿宋_GB2312" w:eastAsia="仿宋_GB2312" w:cs="仿宋_GB2312"/>
          <w:color w:val="auto"/>
          <w:sz w:val="32"/>
          <w:szCs w:val="32"/>
          <w:shd w:val="clear" w:color="auto" w:fill="auto"/>
        </w:rPr>
        <w:t>入户政策</w:t>
      </w:r>
      <w:r>
        <w:rPr>
          <w:rFonts w:hint="eastAsia" w:ascii="仿宋_GB2312" w:hAnsi="仿宋_GB2312" w:eastAsia="仿宋_GB2312" w:cs="仿宋_GB2312"/>
          <w:color w:val="auto"/>
          <w:sz w:val="32"/>
          <w:szCs w:val="32"/>
          <w:shd w:val="clear" w:color="auto" w:fill="auto"/>
          <w:lang w:eastAsia="zh-CN"/>
        </w:rPr>
        <w:t>宣传</w:t>
      </w:r>
      <w:r>
        <w:rPr>
          <w:rFonts w:hint="eastAsia" w:ascii="仿宋_GB2312" w:hAnsi="仿宋_GB2312" w:eastAsia="仿宋_GB2312" w:cs="仿宋_GB2312"/>
          <w:color w:val="auto"/>
          <w:sz w:val="32"/>
          <w:szCs w:val="32"/>
          <w:shd w:val="clear" w:color="auto" w:fill="auto"/>
        </w:rPr>
        <w:t>、</w:t>
      </w:r>
      <w:r>
        <w:rPr>
          <w:rFonts w:hint="eastAsia" w:ascii="仿宋_GB2312" w:hAnsi="仿宋_GB2312" w:eastAsia="仿宋_GB2312" w:cs="仿宋_GB2312"/>
          <w:color w:val="auto"/>
          <w:sz w:val="32"/>
          <w:szCs w:val="32"/>
          <w:shd w:val="clear" w:color="auto" w:fill="auto"/>
          <w:lang w:eastAsia="zh-CN"/>
        </w:rPr>
        <w:t>制定</w:t>
      </w:r>
      <w:r>
        <w:rPr>
          <w:rFonts w:hint="eastAsia" w:ascii="仿宋_GB2312" w:hAnsi="仿宋_GB2312" w:eastAsia="仿宋_GB2312" w:cs="仿宋_GB2312"/>
          <w:color w:val="auto"/>
          <w:sz w:val="32"/>
          <w:szCs w:val="32"/>
          <w:shd w:val="clear" w:color="auto" w:fill="auto"/>
        </w:rPr>
        <w:t>安置方案、</w:t>
      </w:r>
      <w:r>
        <w:rPr>
          <w:rFonts w:hint="eastAsia" w:ascii="仿宋_GB2312" w:hAnsi="仿宋_GB2312" w:eastAsia="仿宋_GB2312" w:cs="仿宋_GB2312"/>
          <w:color w:val="auto"/>
          <w:sz w:val="32"/>
          <w:szCs w:val="32"/>
          <w:shd w:val="clear" w:color="auto" w:fill="auto"/>
          <w:lang w:eastAsia="zh-CN"/>
        </w:rPr>
        <w:t>协议签订、</w:t>
      </w:r>
      <w:r>
        <w:rPr>
          <w:rFonts w:hint="eastAsia" w:ascii="仿宋_GB2312" w:hAnsi="仿宋_GB2312" w:eastAsia="仿宋_GB2312" w:cs="仿宋_GB2312"/>
          <w:color w:val="auto"/>
          <w:sz w:val="32"/>
          <w:szCs w:val="32"/>
          <w:shd w:val="clear" w:color="auto" w:fill="auto"/>
        </w:rPr>
        <w:t>落实安置地点</w:t>
      </w:r>
      <w:r>
        <w:rPr>
          <w:rFonts w:hint="eastAsia" w:ascii="仿宋_GB2312" w:hAnsi="仿宋_GB2312" w:eastAsia="仿宋_GB2312" w:cs="仿宋_GB2312"/>
          <w:color w:val="auto"/>
          <w:sz w:val="32"/>
          <w:szCs w:val="32"/>
          <w:shd w:val="clear" w:color="auto" w:fill="auto"/>
          <w:lang w:eastAsia="zh-CN"/>
        </w:rPr>
        <w:t>和安置措施</w:t>
      </w:r>
      <w:r>
        <w:rPr>
          <w:rFonts w:hint="eastAsia" w:ascii="仿宋_GB2312" w:hAnsi="仿宋_GB2312" w:eastAsia="仿宋_GB2312" w:cs="仿宋_GB2312"/>
          <w:color w:val="auto"/>
          <w:sz w:val="32"/>
          <w:szCs w:val="32"/>
          <w:shd w:val="clear" w:color="auto" w:fill="auto"/>
        </w:rPr>
        <w:t>、</w:t>
      </w:r>
      <w:r>
        <w:rPr>
          <w:rFonts w:hint="eastAsia" w:ascii="仿宋_GB2312" w:hAnsi="仿宋_GB2312" w:eastAsia="仿宋_GB2312" w:cs="仿宋_GB2312"/>
          <w:color w:val="auto"/>
          <w:sz w:val="32"/>
          <w:szCs w:val="32"/>
          <w:shd w:val="clear" w:color="auto" w:fill="auto"/>
          <w:lang w:eastAsia="zh-CN"/>
        </w:rPr>
        <w:t>支付到户补偿资金、住户腾退迁出、矛盾纠纷处理</w:t>
      </w:r>
      <w:r>
        <w:rPr>
          <w:rFonts w:hint="eastAsia" w:ascii="仿宋_GB2312" w:hAnsi="仿宋_GB2312" w:eastAsia="仿宋_GB2312" w:cs="仿宋_GB2312"/>
          <w:color w:val="auto"/>
          <w:sz w:val="32"/>
          <w:szCs w:val="32"/>
          <w:shd w:val="clear" w:color="auto" w:fill="auto"/>
        </w:rPr>
        <w:t>等工作。</w:t>
      </w:r>
    </w:p>
    <w:p>
      <w:pPr>
        <w:keepNext w:val="0"/>
        <w:keepLines w:val="0"/>
        <w:pageBreakBefore w:val="0"/>
        <w:kinsoku/>
        <w:wordWrap/>
        <w:overflowPunct/>
        <w:topLinePunct/>
        <w:autoSpaceDE/>
        <w:autoSpaceDN/>
        <w:bidi w:val="0"/>
        <w:adjustRightInd w:val="0"/>
        <w:snapToGrid w:val="0"/>
        <w:spacing w:line="586" w:lineRule="exact"/>
        <w:ind w:firstLine="643" w:firstLineChars="200"/>
        <w:textAlignment w:val="auto"/>
        <w:outlineLvl w:val="9"/>
        <w:rPr>
          <w:rFonts w:hint="default" w:ascii="仿宋_GB2312" w:hAnsi="仿宋_GB2312" w:eastAsia="仿宋_GB2312" w:cs="仿宋_GB2312"/>
          <w:color w:val="auto"/>
          <w:sz w:val="32"/>
          <w:szCs w:val="32"/>
          <w:shd w:val="clear" w:color="auto" w:fill="auto"/>
          <w:lang w:val="en-US" w:eastAsia="zh-CN"/>
        </w:rPr>
      </w:pPr>
      <w:r>
        <w:rPr>
          <w:rFonts w:hint="eastAsia" w:ascii="仿宋_GB2312" w:hAnsi="仿宋_GB2312" w:eastAsia="仿宋_GB2312" w:cs="仿宋_GB2312"/>
          <w:b/>
          <w:bCs/>
          <w:color w:val="auto"/>
          <w:sz w:val="32"/>
          <w:szCs w:val="32"/>
          <w:shd w:val="clear" w:color="auto" w:fill="auto"/>
        </w:rPr>
        <w:t>第</w:t>
      </w:r>
      <w:r>
        <w:rPr>
          <w:rFonts w:hint="eastAsia" w:ascii="仿宋_GB2312" w:hAnsi="仿宋_GB2312" w:eastAsia="仿宋_GB2312" w:cs="仿宋_GB2312"/>
          <w:b/>
          <w:bCs/>
          <w:color w:val="auto"/>
          <w:sz w:val="32"/>
          <w:szCs w:val="32"/>
          <w:shd w:val="clear" w:color="auto" w:fill="auto"/>
          <w:lang w:eastAsia="zh-CN"/>
        </w:rPr>
        <w:t>二</w:t>
      </w:r>
      <w:r>
        <w:rPr>
          <w:rFonts w:hint="eastAsia" w:ascii="仿宋_GB2312" w:hAnsi="仿宋_GB2312" w:eastAsia="仿宋_GB2312" w:cs="仿宋_GB2312"/>
          <w:b/>
          <w:bCs/>
          <w:color w:val="auto"/>
          <w:sz w:val="32"/>
          <w:szCs w:val="32"/>
          <w:shd w:val="clear" w:color="auto" w:fill="auto"/>
        </w:rPr>
        <w:t>十</w:t>
      </w:r>
      <w:r>
        <w:rPr>
          <w:rFonts w:hint="eastAsia" w:ascii="仿宋_GB2312" w:hAnsi="仿宋_GB2312" w:eastAsia="仿宋_GB2312" w:cs="仿宋_GB2312"/>
          <w:b/>
          <w:bCs/>
          <w:color w:val="auto"/>
          <w:sz w:val="32"/>
          <w:szCs w:val="32"/>
          <w:shd w:val="clear" w:color="auto" w:fill="auto"/>
          <w:lang w:eastAsia="zh-CN"/>
        </w:rPr>
        <w:t>九</w:t>
      </w:r>
      <w:r>
        <w:rPr>
          <w:rFonts w:hint="eastAsia" w:ascii="仿宋_GB2312" w:hAnsi="仿宋_GB2312" w:eastAsia="仿宋_GB2312" w:cs="仿宋_GB2312"/>
          <w:b/>
          <w:bCs/>
          <w:color w:val="auto"/>
          <w:sz w:val="32"/>
          <w:szCs w:val="32"/>
          <w:shd w:val="clear" w:color="auto" w:fill="auto"/>
        </w:rPr>
        <w:t>条</w:t>
      </w:r>
      <w:r>
        <w:rPr>
          <w:rFonts w:hint="eastAsia" w:ascii="仿宋_GB2312" w:hAnsi="仿宋_GB2312" w:eastAsia="仿宋_GB2312" w:cs="仿宋_GB2312"/>
          <w:color w:val="auto"/>
          <w:sz w:val="32"/>
          <w:szCs w:val="32"/>
          <w:shd w:val="clear" w:color="auto" w:fill="auto"/>
          <w:lang w:val="en-US" w:eastAsia="zh-CN"/>
        </w:rPr>
        <w:t xml:space="preserve">  </w:t>
      </w:r>
      <w:r>
        <w:rPr>
          <w:rFonts w:hint="eastAsia" w:ascii="仿宋_GB2312" w:hAnsi="仿宋_GB2312" w:eastAsia="仿宋_GB2312" w:cs="仿宋_GB2312"/>
          <w:color w:val="auto"/>
          <w:sz w:val="32"/>
          <w:szCs w:val="32"/>
          <w:shd w:val="clear" w:color="auto" w:fill="auto"/>
        </w:rPr>
        <w:t>本办法自202</w:t>
      </w:r>
      <w:r>
        <w:rPr>
          <w:rFonts w:hint="eastAsia" w:ascii="仿宋_GB2312" w:hAnsi="仿宋_GB2312" w:eastAsia="仿宋_GB2312" w:cs="仿宋_GB2312"/>
          <w:color w:val="auto"/>
          <w:sz w:val="32"/>
          <w:szCs w:val="32"/>
          <w:shd w:val="clear" w:color="auto" w:fill="auto"/>
          <w:lang w:val="en-US" w:eastAsia="zh-CN"/>
        </w:rPr>
        <w:t>2</w:t>
      </w:r>
      <w:r>
        <w:rPr>
          <w:rFonts w:hint="eastAsia" w:ascii="仿宋_GB2312" w:hAnsi="仿宋_GB2312" w:eastAsia="仿宋_GB2312" w:cs="仿宋_GB2312"/>
          <w:color w:val="auto"/>
          <w:sz w:val="32"/>
          <w:szCs w:val="32"/>
          <w:shd w:val="clear" w:color="auto" w:fill="auto"/>
        </w:rPr>
        <w:t>年</w:t>
      </w:r>
      <w:r>
        <w:rPr>
          <w:rFonts w:hint="eastAsia" w:ascii="仿宋_GB2312" w:hAnsi="仿宋_GB2312" w:eastAsia="仿宋_GB2312" w:cs="仿宋_GB2312"/>
          <w:color w:val="auto"/>
          <w:sz w:val="32"/>
          <w:szCs w:val="32"/>
          <w:shd w:val="clear" w:color="auto" w:fill="auto"/>
          <w:lang w:val="en-US" w:eastAsia="zh-CN"/>
        </w:rPr>
        <w:t>10</w:t>
      </w:r>
      <w:r>
        <w:rPr>
          <w:rFonts w:hint="eastAsia" w:ascii="仿宋_GB2312" w:hAnsi="仿宋_GB2312" w:eastAsia="仿宋_GB2312" w:cs="仿宋_GB2312"/>
          <w:color w:val="auto"/>
          <w:sz w:val="32"/>
          <w:szCs w:val="32"/>
          <w:shd w:val="clear" w:color="auto" w:fill="auto"/>
        </w:rPr>
        <w:t>月</w:t>
      </w:r>
      <w:r>
        <w:rPr>
          <w:rFonts w:hint="eastAsia" w:ascii="仿宋_GB2312" w:hAnsi="仿宋_GB2312" w:eastAsia="仿宋_GB2312" w:cs="仿宋_GB2312"/>
          <w:color w:val="auto"/>
          <w:sz w:val="32"/>
          <w:szCs w:val="32"/>
          <w:shd w:val="clear" w:color="auto" w:fill="auto"/>
          <w:lang w:val="en-US" w:eastAsia="zh-CN"/>
        </w:rPr>
        <w:t>12</w:t>
      </w:r>
      <w:r>
        <w:rPr>
          <w:rFonts w:hint="eastAsia" w:ascii="仿宋_GB2312" w:hAnsi="仿宋_GB2312" w:eastAsia="仿宋_GB2312" w:cs="仿宋_GB2312"/>
          <w:color w:val="auto"/>
          <w:sz w:val="32"/>
          <w:szCs w:val="32"/>
          <w:shd w:val="clear" w:color="auto" w:fill="auto"/>
        </w:rPr>
        <w:t>日起</w:t>
      </w:r>
      <w:r>
        <w:rPr>
          <w:rFonts w:hint="eastAsia" w:ascii="仿宋_GB2312" w:hAnsi="仿宋_GB2312" w:eastAsia="仿宋_GB2312" w:cs="仿宋_GB2312"/>
          <w:color w:val="auto"/>
          <w:sz w:val="32"/>
          <w:szCs w:val="32"/>
          <w:shd w:val="clear" w:color="auto" w:fill="auto"/>
          <w:lang w:eastAsia="zh-CN"/>
        </w:rPr>
        <w:t>实施，有效期</w:t>
      </w:r>
      <w:r>
        <w:rPr>
          <w:rFonts w:hint="eastAsia" w:ascii="仿宋_GB2312" w:hAnsi="仿宋_GB2312" w:eastAsia="仿宋_GB2312" w:cs="仿宋_GB2312"/>
          <w:color w:val="auto"/>
          <w:sz w:val="32"/>
          <w:szCs w:val="32"/>
          <w:shd w:val="clear" w:color="auto" w:fill="auto"/>
          <w:lang w:val="en-US" w:eastAsia="zh-CN"/>
        </w:rPr>
        <w:t>2年，由县文化旅游广电体育局（县文物局）负责解释。</w:t>
      </w:r>
    </w:p>
    <w:p>
      <w:pPr>
        <w:keepNext w:val="0"/>
        <w:keepLines w:val="0"/>
        <w:pageBreakBefore w:val="0"/>
        <w:kinsoku/>
        <w:wordWrap/>
        <w:overflowPunct/>
        <w:topLinePunct w:val="0"/>
        <w:autoSpaceDE/>
        <w:autoSpaceDN/>
        <w:bidi w:val="0"/>
        <w:adjustRightInd w:val="0"/>
        <w:snapToGrid w:val="0"/>
        <w:spacing w:line="586" w:lineRule="exact"/>
        <w:textAlignment w:val="auto"/>
        <w:outlineLvl w:val="9"/>
        <w:rPr>
          <w:rFonts w:hint="eastAsia" w:ascii="仿宋_GB2312" w:hAnsi="仿宋_GB2312" w:eastAsia="仿宋_GB2312" w:cs="仿宋_GB2312"/>
          <w:color w:val="auto"/>
          <w:sz w:val="32"/>
          <w:szCs w:val="32"/>
          <w:shd w:val="clear" w:color="auto" w:fill="auto"/>
          <w:lang w:eastAsia="zh-CN"/>
        </w:rPr>
      </w:pPr>
    </w:p>
    <w:p>
      <w:pPr>
        <w:keepNext w:val="0"/>
        <w:keepLines w:val="0"/>
        <w:pageBreakBefore w:val="0"/>
        <w:kinsoku/>
        <w:wordWrap/>
        <w:overflowPunct/>
        <w:topLinePunct w:val="0"/>
        <w:autoSpaceDE/>
        <w:autoSpaceDN/>
        <w:bidi w:val="0"/>
        <w:adjustRightInd w:val="0"/>
        <w:snapToGrid w:val="0"/>
        <w:spacing w:line="586" w:lineRule="exact"/>
        <w:ind w:firstLine="640" w:firstLineChars="200"/>
        <w:textAlignment w:val="auto"/>
        <w:outlineLvl w:val="9"/>
        <w:rPr>
          <w:rFonts w:hint="eastAsia" w:ascii="仿宋_GB2312" w:hAnsi="仿宋_GB2312" w:eastAsia="仿宋_GB2312" w:cs="仿宋_GB2312"/>
          <w:color w:val="auto"/>
          <w:sz w:val="32"/>
          <w:szCs w:val="32"/>
          <w:shd w:val="clear" w:color="auto" w:fill="auto"/>
          <w:lang w:val="en-US" w:eastAsia="zh-CN"/>
        </w:rPr>
      </w:pPr>
      <w:r>
        <w:rPr>
          <w:rFonts w:hint="eastAsia" w:ascii="仿宋_GB2312" w:hAnsi="仿宋_GB2312" w:eastAsia="仿宋_GB2312" w:cs="仿宋_GB2312"/>
          <w:color w:val="auto"/>
          <w:sz w:val="32"/>
          <w:szCs w:val="32"/>
          <w:shd w:val="clear" w:color="auto" w:fill="auto"/>
          <w:lang w:eastAsia="zh-CN"/>
        </w:rPr>
        <w:t>附件</w:t>
      </w:r>
      <w:r>
        <w:rPr>
          <w:rFonts w:hint="eastAsia" w:ascii="仿宋_GB2312" w:hAnsi="仿宋_GB2312" w:eastAsia="仿宋_GB2312" w:cs="仿宋_GB2312"/>
          <w:color w:val="auto"/>
          <w:sz w:val="32"/>
          <w:szCs w:val="32"/>
          <w:shd w:val="clear" w:color="auto" w:fill="auto"/>
          <w:lang w:val="en-US" w:eastAsia="zh-CN"/>
        </w:rPr>
        <w:t xml:space="preserve">：1.非国有文物建筑及附属建筑产权收购补偿标准 </w:t>
      </w:r>
    </w:p>
    <w:p>
      <w:pPr>
        <w:pStyle w:val="3"/>
        <w:keepNext w:val="0"/>
        <w:keepLines w:val="0"/>
        <w:pageBreakBefore w:val="0"/>
        <w:kinsoku/>
        <w:wordWrap/>
        <w:overflowPunct/>
        <w:topLinePunct w:val="0"/>
        <w:autoSpaceDE/>
        <w:autoSpaceDN/>
        <w:bidi w:val="0"/>
        <w:spacing w:line="586" w:lineRule="exact"/>
        <w:textAlignment w:val="auto"/>
        <w:rPr>
          <w:rFonts w:hint="eastAsia" w:ascii="仿宋_GB2312" w:hAnsi="仿宋_GB2312" w:eastAsia="仿宋_GB2312" w:cs="仿宋_GB2312"/>
          <w:color w:val="auto"/>
          <w:sz w:val="32"/>
          <w:szCs w:val="32"/>
          <w:shd w:val="clear" w:color="auto" w:fill="auto"/>
          <w:lang w:val="en-US" w:eastAsia="zh-CN"/>
        </w:rPr>
      </w:pPr>
      <w:r>
        <w:rPr>
          <w:rFonts w:hint="eastAsia" w:ascii="仿宋_GB2312" w:hAnsi="仿宋_GB2312" w:eastAsia="仿宋_GB2312" w:cs="仿宋_GB2312"/>
          <w:color w:val="auto"/>
          <w:sz w:val="32"/>
          <w:szCs w:val="32"/>
          <w:shd w:val="clear" w:color="auto" w:fill="auto"/>
          <w:lang w:val="en-US" w:eastAsia="zh-CN"/>
        </w:rPr>
        <w:t xml:space="preserve">          2.临时安置及搬家补助费用标准</w:t>
      </w:r>
    </w:p>
    <w:p>
      <w:pPr>
        <w:rPr>
          <w:rFonts w:hint="eastAsia"/>
          <w:color w:val="auto"/>
          <w:shd w:val="clear" w:color="auto" w:fill="auto"/>
          <w:lang w:eastAsia="zh-CN"/>
        </w:rPr>
      </w:pPr>
    </w:p>
    <w:p>
      <w:pPr>
        <w:rPr>
          <w:rFonts w:hint="eastAsia" w:ascii="黑体" w:hAnsi="黑体" w:eastAsia="黑体" w:cs="黑体"/>
          <w:b w:val="0"/>
          <w:bCs w:val="0"/>
          <w:color w:val="auto"/>
          <w:shd w:val="clear" w:color="auto" w:fill="auto"/>
          <w:lang w:eastAsia="zh-CN"/>
        </w:rPr>
      </w:pPr>
      <w:r>
        <w:rPr>
          <w:rFonts w:hint="eastAsia" w:ascii="黑体" w:hAnsi="黑体" w:eastAsia="黑体" w:cs="黑体"/>
          <w:b w:val="0"/>
          <w:bCs w:val="0"/>
          <w:color w:val="auto"/>
          <w:shd w:val="clear" w:color="auto" w:fill="auto"/>
          <w:lang w:eastAsia="zh-CN"/>
        </w:rPr>
        <w:br w:type="page"/>
      </w:r>
    </w:p>
    <w:p>
      <w:pPr>
        <w:rPr>
          <w:rFonts w:hint="eastAsia" w:ascii="黑体" w:hAnsi="黑体" w:eastAsia="黑体" w:cs="黑体"/>
          <w:b w:val="0"/>
          <w:bCs w:val="0"/>
          <w:color w:val="auto"/>
          <w:shd w:val="clear" w:color="auto" w:fill="auto"/>
          <w:lang w:val="en-US" w:eastAsia="zh-CN"/>
        </w:rPr>
      </w:pPr>
      <w:r>
        <w:rPr>
          <w:rFonts w:hint="eastAsia" w:ascii="黑体" w:hAnsi="黑体" w:eastAsia="黑体" w:cs="黑体"/>
          <w:b w:val="0"/>
          <w:bCs w:val="0"/>
          <w:color w:val="auto"/>
          <w:shd w:val="clear" w:color="auto" w:fill="auto"/>
          <w:lang w:eastAsia="zh-CN"/>
        </w:rPr>
        <w:t>附件</w:t>
      </w:r>
      <w:r>
        <w:rPr>
          <w:rFonts w:hint="eastAsia" w:ascii="黑体" w:hAnsi="黑体" w:eastAsia="黑体" w:cs="黑体"/>
          <w:b w:val="0"/>
          <w:bCs w:val="0"/>
          <w:color w:val="auto"/>
          <w:shd w:val="clear" w:color="auto" w:fill="auto"/>
          <w:lang w:val="en-US" w:eastAsia="zh-CN"/>
        </w:rPr>
        <w:t>1</w:t>
      </w:r>
    </w:p>
    <w:p>
      <w:pPr>
        <w:jc w:val="center"/>
        <w:rPr>
          <w:rFonts w:hint="eastAsia" w:ascii="方正小标宋_GBK" w:hAnsi="方正小标宋_GBK" w:eastAsia="方正小标宋_GBK" w:cs="方正小标宋_GBK"/>
          <w:b w:val="0"/>
          <w:bCs w:val="0"/>
          <w:color w:val="auto"/>
          <w:sz w:val="44"/>
          <w:szCs w:val="44"/>
          <w:shd w:val="clear" w:color="auto" w:fill="auto"/>
          <w:lang w:eastAsia="zh-CN"/>
        </w:rPr>
      </w:pPr>
      <w:r>
        <w:rPr>
          <w:rFonts w:hint="eastAsia" w:ascii="方正小标宋_GBK" w:hAnsi="方正小标宋_GBK" w:eastAsia="方正小标宋_GBK" w:cs="方正小标宋_GBK"/>
          <w:b w:val="0"/>
          <w:bCs w:val="0"/>
          <w:color w:val="auto"/>
          <w:sz w:val="44"/>
          <w:szCs w:val="44"/>
          <w:shd w:val="clear" w:color="auto" w:fill="auto"/>
          <w:lang w:eastAsia="zh-CN"/>
        </w:rPr>
        <w:t>非国有文物建筑及附属建筑产权收购补偿标准</w:t>
      </w:r>
    </w:p>
    <w:tbl>
      <w:tblPr>
        <w:tblStyle w:val="7"/>
        <w:tblW w:w="9575" w:type="dxa"/>
        <w:jc w:val="center"/>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Layout w:type="fixed"/>
        <w:tblCellMar>
          <w:top w:w="15" w:type="dxa"/>
          <w:left w:w="15" w:type="dxa"/>
          <w:bottom w:w="15" w:type="dxa"/>
          <w:right w:w="15" w:type="dxa"/>
        </w:tblCellMar>
      </w:tblPr>
      <w:tblGrid>
        <w:gridCol w:w="664"/>
        <w:gridCol w:w="700"/>
        <w:gridCol w:w="1104"/>
        <w:gridCol w:w="7107"/>
      </w:tblGrid>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15" w:type="dxa"/>
            <w:left w:w="15" w:type="dxa"/>
            <w:bottom w:w="15" w:type="dxa"/>
            <w:right w:w="15" w:type="dxa"/>
          </w:tblCellMar>
        </w:tblPrEx>
        <w:trPr>
          <w:trHeight w:val="605" w:hRule="atLeast"/>
          <w:jc w:val="center"/>
        </w:trPr>
        <w:tc>
          <w:tcPr>
            <w:tcW w:w="1364" w:type="dxa"/>
            <w:gridSpan w:val="2"/>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黑体" w:hAnsi="黑体" w:eastAsia="黑体" w:cs="黑体"/>
                <w:b w:val="0"/>
                <w:bCs/>
                <w:color w:val="auto"/>
                <w:kern w:val="0"/>
                <w:sz w:val="21"/>
                <w:szCs w:val="21"/>
              </w:rPr>
            </w:pPr>
            <w:r>
              <w:rPr>
                <w:rFonts w:hint="eastAsia" w:ascii="黑体" w:hAnsi="黑体" w:eastAsia="黑体" w:cs="黑体"/>
                <w:b w:val="0"/>
                <w:bCs/>
                <w:color w:val="auto"/>
                <w:kern w:val="0"/>
                <w:sz w:val="21"/>
                <w:szCs w:val="21"/>
              </w:rPr>
              <w:t>建筑结构</w:t>
            </w:r>
          </w:p>
          <w:p>
            <w:pPr>
              <w:widowControl/>
              <w:jc w:val="center"/>
              <w:textAlignment w:val="center"/>
              <w:rPr>
                <w:rFonts w:hint="eastAsia" w:ascii="黑体" w:hAnsi="黑体" w:eastAsia="黑体" w:cs="黑体"/>
                <w:b w:val="0"/>
                <w:bCs/>
                <w:color w:val="auto"/>
                <w:sz w:val="21"/>
                <w:szCs w:val="21"/>
              </w:rPr>
            </w:pPr>
            <w:r>
              <w:rPr>
                <w:rFonts w:hint="eastAsia" w:ascii="黑体" w:hAnsi="黑体" w:eastAsia="黑体" w:cs="黑体"/>
                <w:b w:val="0"/>
                <w:bCs/>
                <w:color w:val="auto"/>
                <w:kern w:val="0"/>
                <w:sz w:val="21"/>
                <w:szCs w:val="21"/>
              </w:rPr>
              <w:t>等</w:t>
            </w:r>
            <w:r>
              <w:rPr>
                <w:rFonts w:hint="eastAsia" w:ascii="黑体" w:hAnsi="黑体" w:eastAsia="黑体" w:cs="黑体"/>
                <w:b w:val="0"/>
                <w:bCs/>
                <w:color w:val="auto"/>
                <w:kern w:val="0"/>
                <w:sz w:val="21"/>
                <w:szCs w:val="21"/>
                <w:lang w:val="en-US" w:eastAsia="zh-CN"/>
              </w:rPr>
              <w:t xml:space="preserve">  </w:t>
            </w:r>
            <w:r>
              <w:rPr>
                <w:rFonts w:hint="eastAsia" w:ascii="黑体" w:hAnsi="黑体" w:eastAsia="黑体" w:cs="黑体"/>
                <w:b w:val="0"/>
                <w:bCs/>
                <w:color w:val="auto"/>
                <w:kern w:val="0"/>
                <w:sz w:val="21"/>
                <w:szCs w:val="21"/>
              </w:rPr>
              <w:t>级</w:t>
            </w:r>
          </w:p>
        </w:tc>
        <w:tc>
          <w:tcPr>
            <w:tcW w:w="1104"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黑体" w:hAnsi="黑体" w:eastAsia="黑体" w:cs="黑体"/>
                <w:b w:val="0"/>
                <w:bCs/>
                <w:color w:val="auto"/>
                <w:sz w:val="21"/>
                <w:szCs w:val="21"/>
              </w:rPr>
            </w:pPr>
            <w:r>
              <w:rPr>
                <w:rFonts w:hint="eastAsia" w:ascii="黑体" w:hAnsi="黑体" w:eastAsia="黑体" w:cs="黑体"/>
                <w:b w:val="0"/>
                <w:bCs/>
                <w:color w:val="auto"/>
                <w:kern w:val="0"/>
                <w:sz w:val="21"/>
                <w:szCs w:val="21"/>
              </w:rPr>
              <w:t>补偿标准</w:t>
            </w:r>
            <w:r>
              <w:rPr>
                <w:rFonts w:hint="eastAsia" w:ascii="黑体" w:hAnsi="黑体" w:eastAsia="黑体" w:cs="黑体"/>
                <w:b w:val="0"/>
                <w:bCs/>
                <w:color w:val="auto"/>
                <w:kern w:val="0"/>
                <w:sz w:val="21"/>
                <w:szCs w:val="21"/>
                <w:lang w:eastAsia="zh-CN"/>
              </w:rPr>
              <w:t>（元</w:t>
            </w:r>
            <w:r>
              <w:rPr>
                <w:rFonts w:hint="eastAsia" w:ascii="黑体" w:hAnsi="黑体" w:eastAsia="黑体" w:cs="黑体"/>
                <w:b w:val="0"/>
                <w:bCs/>
                <w:color w:val="auto"/>
                <w:kern w:val="0"/>
                <w:sz w:val="21"/>
                <w:szCs w:val="21"/>
                <w:lang w:val="en-US" w:eastAsia="zh-CN"/>
              </w:rPr>
              <w:t>/㎡）</w:t>
            </w:r>
          </w:p>
        </w:tc>
        <w:tc>
          <w:tcPr>
            <w:tcW w:w="7107"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黑体" w:hAnsi="黑体" w:eastAsia="黑体" w:cs="黑体"/>
                <w:b w:val="0"/>
                <w:bCs/>
                <w:color w:val="auto"/>
                <w:sz w:val="21"/>
                <w:szCs w:val="21"/>
              </w:rPr>
            </w:pPr>
            <w:r>
              <w:rPr>
                <w:rFonts w:hint="eastAsia" w:ascii="黑体" w:hAnsi="黑体" w:eastAsia="黑体" w:cs="黑体"/>
                <w:b w:val="0"/>
                <w:bCs/>
                <w:color w:val="auto"/>
                <w:sz w:val="21"/>
                <w:szCs w:val="21"/>
              </w:rPr>
              <w:t>建筑结构等级说明</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15" w:type="dxa"/>
            <w:left w:w="15" w:type="dxa"/>
            <w:bottom w:w="15" w:type="dxa"/>
            <w:right w:w="15" w:type="dxa"/>
          </w:tblCellMar>
        </w:tblPrEx>
        <w:trPr>
          <w:trHeight w:val="896" w:hRule="atLeast"/>
          <w:jc w:val="center"/>
        </w:trPr>
        <w:tc>
          <w:tcPr>
            <w:tcW w:w="664"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kern w:val="0"/>
                <w:sz w:val="21"/>
                <w:szCs w:val="21"/>
              </w:rPr>
            </w:pPr>
            <w:r>
              <w:rPr>
                <w:rFonts w:hint="eastAsia" w:asciiTheme="minorEastAsia" w:hAnsiTheme="minorEastAsia" w:eastAsiaTheme="minorEastAsia" w:cstheme="minorEastAsia"/>
                <w:b w:val="0"/>
                <w:bCs/>
                <w:color w:val="auto"/>
                <w:kern w:val="0"/>
                <w:sz w:val="21"/>
                <w:szCs w:val="21"/>
              </w:rPr>
              <w:t>钢混</w:t>
            </w:r>
          </w:p>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结构</w:t>
            </w:r>
          </w:p>
        </w:tc>
        <w:tc>
          <w:tcPr>
            <w:tcW w:w="700"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一</w:t>
            </w:r>
          </w:p>
        </w:tc>
        <w:tc>
          <w:tcPr>
            <w:tcW w:w="1104"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1320</w:t>
            </w:r>
          </w:p>
        </w:tc>
        <w:tc>
          <w:tcPr>
            <w:tcW w:w="7107" w:type="dxa"/>
            <w:tcBorders>
              <w:tl2br w:val="nil"/>
              <w:tr2bl w:val="nil"/>
            </w:tcBorders>
            <w:shd w:val="clear" w:color="auto" w:fill="auto"/>
            <w:tcMar>
              <w:top w:w="15" w:type="dxa"/>
              <w:left w:w="57" w:type="dxa"/>
              <w:bottom w:w="15" w:type="dxa"/>
              <w:right w:w="57" w:type="dxa"/>
            </w:tcMar>
            <w:vAlign w:val="center"/>
          </w:tcPr>
          <w:p>
            <w:pPr>
              <w:widowControl/>
              <w:jc w:val="left"/>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桩基础或独立基础，承重部分(梁、板、柱 )全部为钢筋混凝土框架结构，现浇楼面、屋面、楼梯、天沟、层高3m屋面上部有隔热层(包括平顶、青瓦型)，24cm眠墙,厨房、洗漱间、厕所等设施齐全，室内外水、电设施齐全。</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15" w:type="dxa"/>
            <w:left w:w="15" w:type="dxa"/>
            <w:bottom w:w="15" w:type="dxa"/>
            <w:right w:w="15" w:type="dxa"/>
          </w:tblCellMar>
        </w:tblPrEx>
        <w:trPr>
          <w:trHeight w:val="824" w:hRule="atLeast"/>
          <w:jc w:val="center"/>
        </w:trPr>
        <w:tc>
          <w:tcPr>
            <w:tcW w:w="664" w:type="dxa"/>
            <w:vMerge w:val="restart"/>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kern w:val="0"/>
                <w:sz w:val="21"/>
                <w:szCs w:val="21"/>
              </w:rPr>
            </w:pPr>
            <w:r>
              <w:rPr>
                <w:rFonts w:hint="eastAsia" w:asciiTheme="minorEastAsia" w:hAnsiTheme="minorEastAsia" w:eastAsiaTheme="minorEastAsia" w:cstheme="minorEastAsia"/>
                <w:b w:val="0"/>
                <w:bCs/>
                <w:color w:val="auto"/>
                <w:kern w:val="0"/>
                <w:sz w:val="21"/>
                <w:szCs w:val="21"/>
              </w:rPr>
              <w:t>砖混</w:t>
            </w:r>
          </w:p>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结构</w:t>
            </w:r>
          </w:p>
        </w:tc>
        <w:tc>
          <w:tcPr>
            <w:tcW w:w="700"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一</w:t>
            </w:r>
          </w:p>
        </w:tc>
        <w:tc>
          <w:tcPr>
            <w:tcW w:w="1104"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1080</w:t>
            </w:r>
          </w:p>
        </w:tc>
        <w:tc>
          <w:tcPr>
            <w:tcW w:w="7107" w:type="dxa"/>
            <w:tcBorders>
              <w:tl2br w:val="nil"/>
              <w:tr2bl w:val="nil"/>
            </w:tcBorders>
            <w:shd w:val="clear" w:color="auto" w:fill="auto"/>
            <w:tcMar>
              <w:top w:w="15" w:type="dxa"/>
              <w:left w:w="57" w:type="dxa"/>
              <w:bottom w:w="15" w:type="dxa"/>
              <w:right w:w="57" w:type="dxa"/>
            </w:tcMar>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i w:val="0"/>
                <w:color w:val="auto"/>
                <w:kern w:val="0"/>
                <w:sz w:val="21"/>
                <w:szCs w:val="21"/>
                <w:u w:val="none"/>
                <w:lang w:val="en-US" w:eastAsia="zh-CN" w:bidi="ar"/>
              </w:rPr>
              <w:t>2层以上建筑物，24cm眠墙，层层串梁，现浇或预制楼梯踏步，预制空心板楼面，预制空心板或钢丝网玲防水屋面，屋面上有隔热层(包括平顶、青瓦型)，现浇天沟排水，层高3m，室内为水泥地面，室内外水、电设施齐全</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15" w:type="dxa"/>
            <w:left w:w="15" w:type="dxa"/>
            <w:bottom w:w="15" w:type="dxa"/>
            <w:right w:w="15" w:type="dxa"/>
          </w:tblCellMar>
        </w:tblPrEx>
        <w:trPr>
          <w:trHeight w:val="778" w:hRule="atLeast"/>
          <w:jc w:val="center"/>
        </w:trPr>
        <w:tc>
          <w:tcPr>
            <w:tcW w:w="664" w:type="dxa"/>
            <w:vMerge w:val="continue"/>
            <w:tcBorders>
              <w:tl2br w:val="nil"/>
              <w:tr2bl w:val="nil"/>
            </w:tcBorders>
            <w:shd w:val="clear" w:color="auto" w:fill="auto"/>
            <w:tcMar>
              <w:top w:w="15" w:type="dxa"/>
              <w:left w:w="57" w:type="dxa"/>
              <w:bottom w:w="15" w:type="dxa"/>
              <w:right w:w="57" w:type="dxa"/>
            </w:tcMar>
            <w:vAlign w:val="center"/>
          </w:tcPr>
          <w:p>
            <w:pPr>
              <w:jc w:val="center"/>
              <w:rPr>
                <w:rFonts w:hint="eastAsia" w:asciiTheme="minorEastAsia" w:hAnsiTheme="minorEastAsia" w:eastAsiaTheme="minorEastAsia" w:cstheme="minorEastAsia"/>
                <w:b w:val="0"/>
                <w:bCs/>
                <w:color w:val="auto"/>
                <w:sz w:val="21"/>
                <w:szCs w:val="21"/>
              </w:rPr>
            </w:pPr>
          </w:p>
        </w:tc>
        <w:tc>
          <w:tcPr>
            <w:tcW w:w="700"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二</w:t>
            </w:r>
          </w:p>
        </w:tc>
        <w:tc>
          <w:tcPr>
            <w:tcW w:w="1104"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1020</w:t>
            </w:r>
          </w:p>
        </w:tc>
        <w:tc>
          <w:tcPr>
            <w:tcW w:w="7107" w:type="dxa"/>
            <w:tcBorders>
              <w:tl2br w:val="nil"/>
              <w:tr2bl w:val="nil"/>
            </w:tcBorders>
            <w:shd w:val="clear" w:color="auto" w:fill="auto"/>
            <w:tcMar>
              <w:top w:w="15" w:type="dxa"/>
              <w:left w:w="57" w:type="dxa"/>
              <w:bottom w:w="15" w:type="dxa"/>
              <w:right w:w="57" w:type="dxa"/>
            </w:tcMar>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i w:val="0"/>
                <w:color w:val="auto"/>
                <w:kern w:val="0"/>
                <w:sz w:val="21"/>
                <w:szCs w:val="21"/>
                <w:u w:val="none"/>
                <w:lang w:val="en-US" w:eastAsia="zh-CN" w:bidi="ar"/>
              </w:rPr>
              <w:t>2层以上建筑物，部分24cm眠墙或空心墙，预制空心板楼面，青瓦屋面，挑阳台，层高3m，水泥地面，厨房、洗漱间、厕所等设施齐全，室内外水、电设施齐全。</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15" w:type="dxa"/>
            <w:left w:w="15" w:type="dxa"/>
            <w:bottom w:w="15" w:type="dxa"/>
            <w:right w:w="15" w:type="dxa"/>
          </w:tblCellMar>
        </w:tblPrEx>
        <w:trPr>
          <w:trHeight w:val="848" w:hRule="atLeast"/>
          <w:jc w:val="center"/>
        </w:trPr>
        <w:tc>
          <w:tcPr>
            <w:tcW w:w="664" w:type="dxa"/>
            <w:vMerge w:val="continue"/>
            <w:tcBorders>
              <w:tl2br w:val="nil"/>
              <w:tr2bl w:val="nil"/>
            </w:tcBorders>
            <w:shd w:val="clear" w:color="auto" w:fill="auto"/>
            <w:tcMar>
              <w:top w:w="15" w:type="dxa"/>
              <w:left w:w="57" w:type="dxa"/>
              <w:bottom w:w="15" w:type="dxa"/>
              <w:right w:w="57" w:type="dxa"/>
            </w:tcMar>
            <w:vAlign w:val="center"/>
          </w:tcPr>
          <w:p>
            <w:pPr>
              <w:jc w:val="center"/>
              <w:rPr>
                <w:rFonts w:hint="eastAsia" w:asciiTheme="minorEastAsia" w:hAnsiTheme="minorEastAsia" w:eastAsiaTheme="minorEastAsia" w:cstheme="minorEastAsia"/>
                <w:b w:val="0"/>
                <w:bCs/>
                <w:color w:val="auto"/>
                <w:sz w:val="21"/>
                <w:szCs w:val="21"/>
              </w:rPr>
            </w:pPr>
          </w:p>
        </w:tc>
        <w:tc>
          <w:tcPr>
            <w:tcW w:w="700"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三</w:t>
            </w:r>
          </w:p>
        </w:tc>
        <w:tc>
          <w:tcPr>
            <w:tcW w:w="1104"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960</w:t>
            </w:r>
          </w:p>
        </w:tc>
        <w:tc>
          <w:tcPr>
            <w:tcW w:w="7107" w:type="dxa"/>
            <w:tcBorders>
              <w:tl2br w:val="nil"/>
              <w:tr2bl w:val="nil"/>
            </w:tcBorders>
            <w:shd w:val="clear" w:color="auto" w:fill="auto"/>
            <w:tcMar>
              <w:top w:w="15" w:type="dxa"/>
              <w:left w:w="57" w:type="dxa"/>
              <w:bottom w:w="15" w:type="dxa"/>
              <w:right w:w="57" w:type="dxa"/>
            </w:tcMar>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i w:val="0"/>
                <w:color w:val="auto"/>
                <w:kern w:val="0"/>
                <w:sz w:val="21"/>
                <w:szCs w:val="21"/>
                <w:u w:val="none"/>
                <w:lang w:val="en-US" w:eastAsia="zh-CN" w:bidi="ar"/>
              </w:rPr>
              <w:t>2层以上建筑物，部分24cm眠墙或空心墙，预制或小板楼面，青瓦屋面，有住檐廊，层高3m，水泥地面，室内外水、电设施齐全。</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15" w:type="dxa"/>
            <w:left w:w="15" w:type="dxa"/>
            <w:bottom w:w="15" w:type="dxa"/>
            <w:right w:w="15" w:type="dxa"/>
          </w:tblCellMar>
        </w:tblPrEx>
        <w:trPr>
          <w:trHeight w:val="824" w:hRule="atLeast"/>
          <w:jc w:val="center"/>
        </w:trPr>
        <w:tc>
          <w:tcPr>
            <w:tcW w:w="664" w:type="dxa"/>
            <w:vMerge w:val="restart"/>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kern w:val="0"/>
                <w:sz w:val="21"/>
                <w:szCs w:val="21"/>
              </w:rPr>
            </w:pPr>
            <w:r>
              <w:rPr>
                <w:rFonts w:hint="eastAsia" w:asciiTheme="minorEastAsia" w:hAnsiTheme="minorEastAsia" w:eastAsiaTheme="minorEastAsia" w:cstheme="minorEastAsia"/>
                <w:b w:val="0"/>
                <w:bCs/>
                <w:color w:val="auto"/>
                <w:kern w:val="0"/>
                <w:sz w:val="21"/>
                <w:szCs w:val="21"/>
              </w:rPr>
              <w:t>砖木</w:t>
            </w:r>
          </w:p>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结构</w:t>
            </w:r>
          </w:p>
        </w:tc>
        <w:tc>
          <w:tcPr>
            <w:tcW w:w="700"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一</w:t>
            </w:r>
          </w:p>
        </w:tc>
        <w:tc>
          <w:tcPr>
            <w:tcW w:w="1104"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840</w:t>
            </w:r>
          </w:p>
        </w:tc>
        <w:tc>
          <w:tcPr>
            <w:tcW w:w="7107" w:type="dxa"/>
            <w:tcBorders>
              <w:tl2br w:val="nil"/>
              <w:tr2bl w:val="nil"/>
            </w:tcBorders>
            <w:shd w:val="clear" w:color="auto" w:fill="auto"/>
            <w:tcMar>
              <w:top w:w="15" w:type="dxa"/>
              <w:left w:w="57" w:type="dxa"/>
              <w:bottom w:w="15" w:type="dxa"/>
              <w:right w:w="57" w:type="dxa"/>
            </w:tcMar>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i w:val="0"/>
                <w:color w:val="auto"/>
                <w:kern w:val="0"/>
                <w:sz w:val="21"/>
                <w:szCs w:val="21"/>
                <w:u w:val="none"/>
                <w:lang w:val="en-US" w:eastAsia="zh-CN" w:bidi="ar"/>
              </w:rPr>
              <w:t>2层以上建筑物，砖石其础，24cm眠墙，木架青瓦屋面，木板楼面，木质平顶，屋面四周水泥砖砌排水明沟或暗沟，水泥地面，室内外水、电设施齐全。</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15" w:type="dxa"/>
            <w:left w:w="15" w:type="dxa"/>
            <w:bottom w:w="15" w:type="dxa"/>
            <w:right w:w="15" w:type="dxa"/>
          </w:tblCellMar>
        </w:tblPrEx>
        <w:trPr>
          <w:trHeight w:val="656" w:hRule="atLeast"/>
          <w:jc w:val="center"/>
        </w:trPr>
        <w:tc>
          <w:tcPr>
            <w:tcW w:w="664" w:type="dxa"/>
            <w:vMerge w:val="continue"/>
            <w:tcBorders>
              <w:tl2br w:val="nil"/>
              <w:tr2bl w:val="nil"/>
            </w:tcBorders>
            <w:shd w:val="clear" w:color="auto" w:fill="auto"/>
            <w:tcMar>
              <w:top w:w="15" w:type="dxa"/>
              <w:left w:w="57" w:type="dxa"/>
              <w:bottom w:w="15" w:type="dxa"/>
              <w:right w:w="57" w:type="dxa"/>
            </w:tcMar>
            <w:vAlign w:val="center"/>
          </w:tcPr>
          <w:p>
            <w:pPr>
              <w:jc w:val="center"/>
              <w:rPr>
                <w:rFonts w:hint="eastAsia" w:asciiTheme="minorEastAsia" w:hAnsiTheme="minorEastAsia" w:eastAsiaTheme="minorEastAsia" w:cstheme="minorEastAsia"/>
                <w:b w:val="0"/>
                <w:bCs/>
                <w:color w:val="auto"/>
                <w:sz w:val="21"/>
                <w:szCs w:val="21"/>
              </w:rPr>
            </w:pPr>
          </w:p>
        </w:tc>
        <w:tc>
          <w:tcPr>
            <w:tcW w:w="700"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二</w:t>
            </w:r>
          </w:p>
        </w:tc>
        <w:tc>
          <w:tcPr>
            <w:tcW w:w="1104"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720</w:t>
            </w:r>
          </w:p>
        </w:tc>
        <w:tc>
          <w:tcPr>
            <w:tcW w:w="7107" w:type="dxa"/>
            <w:tcBorders>
              <w:tl2br w:val="nil"/>
              <w:tr2bl w:val="nil"/>
            </w:tcBorders>
            <w:shd w:val="clear" w:color="auto" w:fill="auto"/>
            <w:tcMar>
              <w:top w:w="15" w:type="dxa"/>
              <w:left w:w="57" w:type="dxa"/>
              <w:bottom w:w="15" w:type="dxa"/>
              <w:right w:w="57" w:type="dxa"/>
            </w:tcMar>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i w:val="0"/>
                <w:color w:val="auto"/>
                <w:kern w:val="0"/>
                <w:sz w:val="21"/>
                <w:szCs w:val="21"/>
                <w:u w:val="none"/>
                <w:lang w:val="en-US" w:eastAsia="zh-CN" w:bidi="ar"/>
              </w:rPr>
            </w:pPr>
            <w:r>
              <w:rPr>
                <w:rFonts w:hint="eastAsia" w:asciiTheme="minorEastAsia" w:hAnsiTheme="minorEastAsia" w:eastAsiaTheme="minorEastAsia" w:cstheme="minorEastAsia"/>
                <w:b w:val="0"/>
                <w:bCs/>
                <w:i w:val="0"/>
                <w:color w:val="auto"/>
                <w:kern w:val="0"/>
                <w:sz w:val="21"/>
                <w:szCs w:val="21"/>
                <w:u w:val="none"/>
                <w:lang w:val="en-US" w:eastAsia="zh-CN" w:bidi="ar"/>
              </w:rPr>
              <w:t>砖石基础，木屋架墙，部分24cm眠墙或空心墙，木架青瓦屋面，木制楼面，前后径墙3m以上，三合土或水泥地面；室内外水、电设施齐全。</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15" w:type="dxa"/>
            <w:left w:w="15" w:type="dxa"/>
            <w:bottom w:w="15" w:type="dxa"/>
            <w:right w:w="15" w:type="dxa"/>
          </w:tblCellMar>
        </w:tblPrEx>
        <w:trPr>
          <w:trHeight w:val="613" w:hRule="atLeast"/>
          <w:jc w:val="center"/>
        </w:trPr>
        <w:tc>
          <w:tcPr>
            <w:tcW w:w="664" w:type="dxa"/>
            <w:vMerge w:val="continue"/>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kern w:val="0"/>
                <w:sz w:val="21"/>
                <w:szCs w:val="21"/>
              </w:rPr>
            </w:pPr>
          </w:p>
        </w:tc>
        <w:tc>
          <w:tcPr>
            <w:tcW w:w="700"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kern w:val="0"/>
                <w:sz w:val="21"/>
                <w:szCs w:val="21"/>
                <w:lang w:val="en-US" w:eastAsia="zh-CN"/>
              </w:rPr>
            </w:pPr>
            <w:r>
              <w:rPr>
                <w:rFonts w:hint="eastAsia" w:asciiTheme="minorEastAsia" w:hAnsiTheme="minorEastAsia" w:eastAsiaTheme="minorEastAsia" w:cstheme="minorEastAsia"/>
                <w:b w:val="0"/>
                <w:bCs/>
                <w:color w:val="auto"/>
                <w:kern w:val="0"/>
                <w:sz w:val="21"/>
                <w:szCs w:val="21"/>
                <w:lang w:val="en-US" w:eastAsia="zh-CN"/>
              </w:rPr>
              <w:t xml:space="preserve">三 </w:t>
            </w:r>
          </w:p>
        </w:tc>
        <w:tc>
          <w:tcPr>
            <w:tcW w:w="1104"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kern w:val="0"/>
                <w:sz w:val="21"/>
                <w:szCs w:val="21"/>
                <w:lang w:val="en-US" w:eastAsia="zh-CN"/>
              </w:rPr>
            </w:pPr>
            <w:r>
              <w:rPr>
                <w:rFonts w:hint="eastAsia" w:asciiTheme="minorEastAsia" w:hAnsiTheme="minorEastAsia" w:eastAsiaTheme="minorEastAsia" w:cstheme="minorEastAsia"/>
                <w:b w:val="0"/>
                <w:bCs/>
                <w:color w:val="auto"/>
                <w:kern w:val="0"/>
                <w:sz w:val="21"/>
                <w:szCs w:val="21"/>
                <w:lang w:val="en-US" w:eastAsia="zh-CN"/>
              </w:rPr>
              <w:t>650</w:t>
            </w:r>
          </w:p>
        </w:tc>
        <w:tc>
          <w:tcPr>
            <w:tcW w:w="7107" w:type="dxa"/>
            <w:tcBorders>
              <w:tl2br w:val="nil"/>
              <w:tr2bl w:val="nil"/>
            </w:tcBorders>
            <w:shd w:val="clear" w:color="auto" w:fill="auto"/>
            <w:tcMar>
              <w:top w:w="15" w:type="dxa"/>
              <w:left w:w="57" w:type="dxa"/>
              <w:bottom w:w="15" w:type="dxa"/>
              <w:right w:w="57" w:type="dxa"/>
            </w:tcMar>
            <w:vAlign w:val="center"/>
          </w:tcPr>
          <w:p>
            <w:pPr>
              <w:keepNext w:val="0"/>
              <w:keepLines w:val="0"/>
              <w:widowControl/>
              <w:suppressLineNumbers w:val="0"/>
              <w:jc w:val="left"/>
              <w:textAlignment w:val="center"/>
              <w:rPr>
                <w:rFonts w:hint="eastAsia"/>
                <w:color w:val="auto"/>
                <w:sz w:val="21"/>
                <w:szCs w:val="21"/>
                <w:lang w:val="en-US" w:eastAsia="zh-CN"/>
              </w:rPr>
            </w:pPr>
            <w:r>
              <w:rPr>
                <w:rFonts w:hint="eastAsia" w:asciiTheme="minorEastAsia" w:hAnsiTheme="minorEastAsia" w:eastAsiaTheme="minorEastAsia" w:cstheme="minorEastAsia"/>
                <w:b w:val="0"/>
                <w:bCs/>
                <w:i w:val="0"/>
                <w:color w:val="auto"/>
                <w:kern w:val="0"/>
                <w:sz w:val="21"/>
                <w:szCs w:val="21"/>
                <w:u w:val="none"/>
                <w:lang w:val="en-US" w:eastAsia="zh-CN" w:bidi="ar"/>
              </w:rPr>
              <w:t>砖石基础，木屋架墙;18墙或空心墙,木架青瓦屋面,木制楼面,前后径墙3m以上，素土地面,水、电入户。</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15" w:type="dxa"/>
            <w:left w:w="15" w:type="dxa"/>
            <w:bottom w:w="15" w:type="dxa"/>
            <w:right w:w="15" w:type="dxa"/>
          </w:tblCellMar>
        </w:tblPrEx>
        <w:trPr>
          <w:trHeight w:val="629" w:hRule="atLeast"/>
          <w:jc w:val="center"/>
        </w:trPr>
        <w:tc>
          <w:tcPr>
            <w:tcW w:w="664" w:type="dxa"/>
            <w:vMerge w:val="restart"/>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kern w:val="0"/>
                <w:sz w:val="21"/>
                <w:szCs w:val="21"/>
              </w:rPr>
            </w:pPr>
            <w:r>
              <w:rPr>
                <w:rFonts w:hint="eastAsia" w:asciiTheme="minorEastAsia" w:hAnsiTheme="minorEastAsia" w:eastAsiaTheme="minorEastAsia" w:cstheme="minorEastAsia"/>
                <w:b w:val="0"/>
                <w:bCs/>
                <w:color w:val="auto"/>
                <w:kern w:val="0"/>
                <w:sz w:val="21"/>
                <w:szCs w:val="21"/>
              </w:rPr>
              <w:t>木制</w:t>
            </w:r>
          </w:p>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结构</w:t>
            </w:r>
          </w:p>
        </w:tc>
        <w:tc>
          <w:tcPr>
            <w:tcW w:w="700"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一</w:t>
            </w:r>
          </w:p>
        </w:tc>
        <w:tc>
          <w:tcPr>
            <w:tcW w:w="1104"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780</w:t>
            </w:r>
          </w:p>
        </w:tc>
        <w:tc>
          <w:tcPr>
            <w:tcW w:w="7107" w:type="dxa"/>
            <w:tcBorders>
              <w:tl2br w:val="nil"/>
              <w:tr2bl w:val="nil"/>
            </w:tcBorders>
            <w:shd w:val="clear" w:color="auto" w:fill="auto"/>
            <w:tcMar>
              <w:top w:w="15" w:type="dxa"/>
              <w:left w:w="57" w:type="dxa"/>
              <w:bottom w:w="15" w:type="dxa"/>
              <w:right w:w="57" w:type="dxa"/>
            </w:tcMar>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i w:val="0"/>
                <w:color w:val="auto"/>
                <w:kern w:val="0"/>
                <w:sz w:val="21"/>
                <w:szCs w:val="21"/>
                <w:u w:val="none"/>
                <w:lang w:val="en-US" w:eastAsia="zh-CN" w:bidi="ar"/>
              </w:rPr>
              <w:t>标准砖石基础，基础深度0.5m以上，木桩屋梁，木板墙或卡砖墙，瓦屋面，前后檐口高度2.8m以上，油漆木制门窗，水电进户(含室内管线)，三合土地面或水泥地面。</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15" w:type="dxa"/>
            <w:left w:w="15" w:type="dxa"/>
            <w:bottom w:w="15" w:type="dxa"/>
            <w:right w:w="15" w:type="dxa"/>
          </w:tblCellMar>
        </w:tblPrEx>
        <w:trPr>
          <w:trHeight w:val="656" w:hRule="atLeast"/>
          <w:jc w:val="center"/>
        </w:trPr>
        <w:tc>
          <w:tcPr>
            <w:tcW w:w="664" w:type="dxa"/>
            <w:vMerge w:val="continue"/>
            <w:tcBorders>
              <w:tl2br w:val="nil"/>
              <w:tr2bl w:val="nil"/>
            </w:tcBorders>
            <w:shd w:val="clear" w:color="auto" w:fill="auto"/>
            <w:tcMar>
              <w:top w:w="15" w:type="dxa"/>
              <w:left w:w="57" w:type="dxa"/>
              <w:bottom w:w="15" w:type="dxa"/>
              <w:right w:w="57" w:type="dxa"/>
            </w:tcMar>
            <w:vAlign w:val="center"/>
          </w:tcPr>
          <w:p>
            <w:pPr>
              <w:jc w:val="center"/>
              <w:rPr>
                <w:rFonts w:hint="eastAsia" w:asciiTheme="minorEastAsia" w:hAnsiTheme="minorEastAsia" w:eastAsiaTheme="minorEastAsia" w:cstheme="minorEastAsia"/>
                <w:b w:val="0"/>
                <w:bCs/>
                <w:color w:val="auto"/>
                <w:sz w:val="21"/>
                <w:szCs w:val="21"/>
              </w:rPr>
            </w:pPr>
          </w:p>
        </w:tc>
        <w:tc>
          <w:tcPr>
            <w:tcW w:w="700"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二</w:t>
            </w:r>
          </w:p>
        </w:tc>
        <w:tc>
          <w:tcPr>
            <w:tcW w:w="1104"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lang w:val="en-US" w:eastAsia="zh-CN"/>
              </w:rPr>
              <w:t>68</w:t>
            </w:r>
            <w:r>
              <w:rPr>
                <w:rFonts w:hint="eastAsia" w:asciiTheme="minorEastAsia" w:hAnsiTheme="minorEastAsia" w:eastAsiaTheme="minorEastAsia" w:cstheme="minorEastAsia"/>
                <w:b w:val="0"/>
                <w:bCs/>
                <w:color w:val="auto"/>
                <w:kern w:val="0"/>
                <w:sz w:val="21"/>
                <w:szCs w:val="21"/>
              </w:rPr>
              <w:t>0</w:t>
            </w:r>
          </w:p>
        </w:tc>
        <w:tc>
          <w:tcPr>
            <w:tcW w:w="7107" w:type="dxa"/>
            <w:tcBorders>
              <w:tl2br w:val="nil"/>
              <w:tr2bl w:val="nil"/>
            </w:tcBorders>
            <w:shd w:val="clear" w:color="auto" w:fill="auto"/>
            <w:tcMar>
              <w:top w:w="15" w:type="dxa"/>
              <w:left w:w="57" w:type="dxa"/>
              <w:bottom w:w="15" w:type="dxa"/>
              <w:right w:w="57" w:type="dxa"/>
            </w:tcMar>
            <w:vAlign w:val="center"/>
          </w:tcPr>
          <w:p>
            <w:pPr>
              <w:widowControl/>
              <w:jc w:val="left"/>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i w:val="0"/>
                <w:color w:val="auto"/>
                <w:kern w:val="0"/>
                <w:sz w:val="21"/>
                <w:szCs w:val="21"/>
                <w:u w:val="none"/>
                <w:lang w:val="en-US" w:eastAsia="zh-CN" w:bidi="ar"/>
              </w:rPr>
              <w:t>标准砖石基础，木桩屋梁，木板墙或卡砖墙，瓦屋面，前后檐口高度2.8m以上，普通门窗，素土地面，水、电入户。</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15" w:type="dxa"/>
            <w:left w:w="15" w:type="dxa"/>
            <w:bottom w:w="15" w:type="dxa"/>
            <w:right w:w="15" w:type="dxa"/>
          </w:tblCellMar>
        </w:tblPrEx>
        <w:trPr>
          <w:trHeight w:val="505" w:hRule="atLeast"/>
          <w:jc w:val="center"/>
        </w:trPr>
        <w:tc>
          <w:tcPr>
            <w:tcW w:w="664" w:type="dxa"/>
            <w:vMerge w:val="restart"/>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kern w:val="0"/>
                <w:sz w:val="21"/>
                <w:szCs w:val="21"/>
              </w:rPr>
            </w:pPr>
            <w:r>
              <w:rPr>
                <w:rFonts w:hint="eastAsia" w:asciiTheme="minorEastAsia" w:hAnsiTheme="minorEastAsia" w:eastAsiaTheme="minorEastAsia" w:cstheme="minorEastAsia"/>
                <w:b w:val="0"/>
                <w:bCs/>
                <w:color w:val="auto"/>
                <w:kern w:val="0"/>
                <w:sz w:val="21"/>
                <w:szCs w:val="21"/>
              </w:rPr>
              <w:t>土木</w:t>
            </w:r>
          </w:p>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结构</w:t>
            </w:r>
          </w:p>
        </w:tc>
        <w:tc>
          <w:tcPr>
            <w:tcW w:w="700"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一</w:t>
            </w:r>
          </w:p>
        </w:tc>
        <w:tc>
          <w:tcPr>
            <w:tcW w:w="1104"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600</w:t>
            </w:r>
          </w:p>
        </w:tc>
        <w:tc>
          <w:tcPr>
            <w:tcW w:w="7107" w:type="dxa"/>
            <w:tcBorders>
              <w:tl2br w:val="nil"/>
              <w:tr2bl w:val="nil"/>
            </w:tcBorders>
            <w:shd w:val="clear" w:color="auto" w:fill="auto"/>
            <w:tcMar>
              <w:top w:w="15" w:type="dxa"/>
              <w:left w:w="57" w:type="dxa"/>
              <w:bottom w:w="15" w:type="dxa"/>
              <w:right w:w="57" w:type="dxa"/>
            </w:tcMar>
            <w:vAlign w:val="center"/>
          </w:tcPr>
          <w:p>
            <w:pPr>
              <w:widowControl/>
              <w:jc w:val="left"/>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lang w:val="en-US" w:eastAsia="zh-CN"/>
              </w:rPr>
              <w:t>土砖，土筑或节砖墙，青瓦屋面，前后径墙3m以上，水泥或</w:t>
            </w:r>
            <w:r>
              <w:rPr>
                <w:rFonts w:hint="eastAsia" w:asciiTheme="minorEastAsia" w:hAnsiTheme="minorEastAsia" w:eastAsiaTheme="minorEastAsia" w:cstheme="minorEastAsia"/>
                <w:b w:val="0"/>
                <w:bCs/>
                <w:color w:val="auto"/>
                <w:kern w:val="0"/>
                <w:sz w:val="21"/>
                <w:szCs w:val="21"/>
              </w:rPr>
              <w:t>三合土</w:t>
            </w:r>
            <w:r>
              <w:rPr>
                <w:rFonts w:hint="eastAsia" w:asciiTheme="minorEastAsia" w:hAnsiTheme="minorEastAsia" w:eastAsiaTheme="minorEastAsia" w:cstheme="minorEastAsia"/>
                <w:b w:val="0"/>
                <w:bCs/>
                <w:color w:val="auto"/>
                <w:kern w:val="0"/>
                <w:sz w:val="21"/>
                <w:szCs w:val="21"/>
                <w:lang w:val="en-US" w:eastAsia="zh-CN"/>
              </w:rPr>
              <w:t>地面，水、电设施齐全。</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15" w:type="dxa"/>
            <w:left w:w="15" w:type="dxa"/>
            <w:bottom w:w="15" w:type="dxa"/>
            <w:right w:w="15" w:type="dxa"/>
          </w:tblCellMar>
        </w:tblPrEx>
        <w:trPr>
          <w:trHeight w:val="608" w:hRule="atLeast"/>
          <w:jc w:val="center"/>
        </w:trPr>
        <w:tc>
          <w:tcPr>
            <w:tcW w:w="664" w:type="dxa"/>
            <w:vMerge w:val="continue"/>
            <w:tcBorders>
              <w:tl2br w:val="nil"/>
              <w:tr2bl w:val="nil"/>
            </w:tcBorders>
            <w:shd w:val="clear" w:color="auto" w:fill="auto"/>
            <w:tcMar>
              <w:top w:w="15" w:type="dxa"/>
              <w:left w:w="57" w:type="dxa"/>
              <w:bottom w:w="15" w:type="dxa"/>
              <w:right w:w="57" w:type="dxa"/>
            </w:tcMar>
            <w:vAlign w:val="center"/>
          </w:tcPr>
          <w:p>
            <w:pPr>
              <w:jc w:val="center"/>
              <w:rPr>
                <w:rFonts w:hint="eastAsia" w:asciiTheme="minorEastAsia" w:hAnsiTheme="minorEastAsia" w:eastAsiaTheme="minorEastAsia" w:cstheme="minorEastAsia"/>
                <w:b w:val="0"/>
                <w:bCs/>
                <w:color w:val="auto"/>
                <w:sz w:val="21"/>
                <w:szCs w:val="21"/>
              </w:rPr>
            </w:pPr>
          </w:p>
        </w:tc>
        <w:tc>
          <w:tcPr>
            <w:tcW w:w="700"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二</w:t>
            </w:r>
          </w:p>
        </w:tc>
        <w:tc>
          <w:tcPr>
            <w:tcW w:w="1104"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550</w:t>
            </w:r>
          </w:p>
        </w:tc>
        <w:tc>
          <w:tcPr>
            <w:tcW w:w="7107" w:type="dxa"/>
            <w:tcBorders>
              <w:tl2br w:val="nil"/>
              <w:tr2bl w:val="nil"/>
            </w:tcBorders>
            <w:shd w:val="clear" w:color="auto" w:fill="auto"/>
            <w:tcMar>
              <w:top w:w="15" w:type="dxa"/>
              <w:left w:w="57" w:type="dxa"/>
              <w:bottom w:w="15" w:type="dxa"/>
              <w:right w:w="57" w:type="dxa"/>
            </w:tcMar>
            <w:vAlign w:val="center"/>
          </w:tcPr>
          <w:p>
            <w:pPr>
              <w:widowControl/>
              <w:jc w:val="left"/>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土筑、土砖或节砖墙，瓦屋面，</w:t>
            </w:r>
            <w:r>
              <w:rPr>
                <w:rFonts w:hint="eastAsia" w:asciiTheme="minorEastAsia" w:hAnsiTheme="minorEastAsia" w:eastAsiaTheme="minorEastAsia" w:cstheme="minorEastAsia"/>
                <w:b w:val="0"/>
                <w:bCs/>
                <w:color w:val="auto"/>
                <w:kern w:val="0"/>
                <w:sz w:val="21"/>
                <w:szCs w:val="21"/>
                <w:lang w:val="en-US" w:eastAsia="zh-CN"/>
              </w:rPr>
              <w:t>前后径墙3m以上，</w:t>
            </w:r>
            <w:r>
              <w:rPr>
                <w:rFonts w:hint="eastAsia" w:asciiTheme="minorEastAsia" w:hAnsiTheme="minorEastAsia" w:eastAsiaTheme="minorEastAsia" w:cstheme="minorEastAsia"/>
                <w:b w:val="0"/>
                <w:bCs/>
                <w:color w:val="auto"/>
                <w:kern w:val="0"/>
                <w:sz w:val="21"/>
                <w:szCs w:val="21"/>
              </w:rPr>
              <w:t>素土地面，</w:t>
            </w:r>
            <w:r>
              <w:rPr>
                <w:rFonts w:hint="eastAsia" w:asciiTheme="minorEastAsia" w:hAnsiTheme="minorEastAsia" w:eastAsiaTheme="minorEastAsia" w:cstheme="minorEastAsia"/>
                <w:b w:val="0"/>
                <w:bCs/>
                <w:color w:val="auto"/>
                <w:kern w:val="0"/>
                <w:sz w:val="21"/>
                <w:szCs w:val="21"/>
                <w:lang w:val="en-US" w:eastAsia="zh-CN"/>
              </w:rPr>
              <w:t>水、电入户。</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15" w:type="dxa"/>
            <w:left w:w="15" w:type="dxa"/>
            <w:bottom w:w="15" w:type="dxa"/>
            <w:right w:w="15" w:type="dxa"/>
          </w:tblCellMar>
        </w:tblPrEx>
        <w:trPr>
          <w:trHeight w:val="596" w:hRule="atLeast"/>
          <w:jc w:val="center"/>
        </w:trPr>
        <w:tc>
          <w:tcPr>
            <w:tcW w:w="1364" w:type="dxa"/>
            <w:gridSpan w:val="2"/>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偏屋</w:t>
            </w:r>
          </w:p>
        </w:tc>
        <w:tc>
          <w:tcPr>
            <w:tcW w:w="1104"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400</w:t>
            </w:r>
          </w:p>
        </w:tc>
        <w:tc>
          <w:tcPr>
            <w:tcW w:w="7107" w:type="dxa"/>
            <w:tcBorders>
              <w:tl2br w:val="nil"/>
              <w:tr2bl w:val="nil"/>
            </w:tcBorders>
            <w:shd w:val="clear" w:color="auto" w:fill="auto"/>
            <w:tcMar>
              <w:top w:w="15" w:type="dxa"/>
              <w:left w:w="57" w:type="dxa"/>
              <w:bottom w:w="15" w:type="dxa"/>
              <w:right w:w="57" w:type="dxa"/>
            </w:tcMar>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i w:val="0"/>
                <w:color w:val="auto"/>
                <w:kern w:val="0"/>
                <w:sz w:val="21"/>
                <w:szCs w:val="21"/>
                <w:u w:val="none"/>
                <w:lang w:val="en-US" w:eastAsia="zh-CN" w:bidi="ar"/>
              </w:rPr>
              <w:t>土砖，土筑或节砖墙，其中一面借墙(无独立山墙)瓦屋顶，檐口高度在2.2m以下。</w:t>
            </w:r>
          </w:p>
        </w:tc>
      </w:tr>
      <w:tr>
        <w:tblPrEx>
          <w:tblBorders>
            <w:top w:val="single" w:color="auto" w:sz="6" w:space="0"/>
            <w:left w:val="single" w:color="auto" w:sz="6" w:space="0"/>
            <w:bottom w:val="single" w:color="auto" w:sz="6" w:space="0"/>
            <w:right w:val="single" w:color="auto" w:sz="6" w:space="0"/>
            <w:insideH w:val="single" w:color="auto" w:sz="4" w:space="0"/>
            <w:insideV w:val="single" w:color="auto" w:sz="4" w:space="0"/>
          </w:tblBorders>
          <w:tblCellMar>
            <w:top w:w="15" w:type="dxa"/>
            <w:left w:w="15" w:type="dxa"/>
            <w:bottom w:w="15" w:type="dxa"/>
            <w:right w:w="15" w:type="dxa"/>
          </w:tblCellMar>
        </w:tblPrEx>
        <w:trPr>
          <w:trHeight w:val="597" w:hRule="atLeast"/>
          <w:jc w:val="center"/>
        </w:trPr>
        <w:tc>
          <w:tcPr>
            <w:tcW w:w="1364" w:type="dxa"/>
            <w:gridSpan w:val="2"/>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杂屋</w:t>
            </w:r>
          </w:p>
        </w:tc>
        <w:tc>
          <w:tcPr>
            <w:tcW w:w="1104" w:type="dxa"/>
            <w:tcBorders>
              <w:tl2br w:val="nil"/>
              <w:tr2bl w:val="nil"/>
            </w:tcBorders>
            <w:shd w:val="clear" w:color="auto" w:fill="auto"/>
            <w:tcMar>
              <w:top w:w="15" w:type="dxa"/>
              <w:left w:w="57" w:type="dxa"/>
              <w:bottom w:w="15" w:type="dxa"/>
              <w:right w:w="57" w:type="dxa"/>
            </w:tcMar>
            <w:vAlign w:val="center"/>
          </w:tcPr>
          <w:p>
            <w:pPr>
              <w:widowControl/>
              <w:jc w:val="center"/>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color w:val="auto"/>
                <w:kern w:val="0"/>
                <w:sz w:val="21"/>
                <w:szCs w:val="21"/>
              </w:rPr>
              <w:t>300</w:t>
            </w:r>
          </w:p>
        </w:tc>
        <w:tc>
          <w:tcPr>
            <w:tcW w:w="7107" w:type="dxa"/>
            <w:tcBorders>
              <w:tl2br w:val="nil"/>
              <w:tr2bl w:val="nil"/>
            </w:tcBorders>
            <w:shd w:val="clear" w:color="auto" w:fill="auto"/>
            <w:tcMar>
              <w:top w:w="15" w:type="dxa"/>
              <w:left w:w="57" w:type="dxa"/>
              <w:bottom w:w="15" w:type="dxa"/>
              <w:right w:w="57" w:type="dxa"/>
            </w:tcMar>
            <w:vAlign w:val="center"/>
          </w:tcPr>
          <w:p>
            <w:pPr>
              <w:keepNext w:val="0"/>
              <w:keepLines w:val="0"/>
              <w:widowControl/>
              <w:suppressLineNumbers w:val="0"/>
              <w:jc w:val="left"/>
              <w:textAlignment w:val="center"/>
              <w:rPr>
                <w:rFonts w:hint="eastAsia" w:asciiTheme="minorEastAsia" w:hAnsiTheme="minorEastAsia" w:eastAsiaTheme="minorEastAsia" w:cstheme="minorEastAsia"/>
                <w:b w:val="0"/>
                <w:bCs/>
                <w:color w:val="auto"/>
                <w:sz w:val="21"/>
                <w:szCs w:val="21"/>
              </w:rPr>
            </w:pPr>
            <w:r>
              <w:rPr>
                <w:rFonts w:hint="eastAsia" w:asciiTheme="minorEastAsia" w:hAnsiTheme="minorEastAsia" w:eastAsiaTheme="minorEastAsia" w:cstheme="minorEastAsia"/>
                <w:b w:val="0"/>
                <w:bCs/>
                <w:i w:val="0"/>
                <w:color w:val="auto"/>
                <w:kern w:val="0"/>
                <w:sz w:val="21"/>
                <w:szCs w:val="21"/>
                <w:u w:val="none"/>
                <w:lang w:val="en-US" w:eastAsia="zh-CN" w:bidi="ar"/>
              </w:rPr>
              <w:t>土砖、土筑或节砖墙，青瓦或石棉瓦屋面，檐口高度在1.8m以下。</w:t>
            </w:r>
          </w:p>
        </w:tc>
      </w:tr>
    </w:tbl>
    <w:p>
      <w:pPr>
        <w:pStyle w:val="3"/>
        <w:keepNext w:val="0"/>
        <w:keepLines w:val="0"/>
        <w:pageBreakBefore w:val="0"/>
        <w:widowControl w:val="0"/>
        <w:kinsoku/>
        <w:wordWrap/>
        <w:overflowPunct/>
        <w:topLinePunct w:val="0"/>
        <w:autoSpaceDE/>
        <w:autoSpaceDN/>
        <w:bidi w:val="0"/>
        <w:adjustRightInd/>
        <w:snapToGrid/>
        <w:spacing w:line="400" w:lineRule="exact"/>
        <w:textAlignment w:val="auto"/>
        <w:rPr>
          <w:color w:val="auto"/>
          <w:sz w:val="24"/>
          <w:szCs w:val="24"/>
        </w:rPr>
      </w:pPr>
      <w:r>
        <w:rPr>
          <w:rFonts w:hint="eastAsia" w:asciiTheme="minorEastAsia" w:hAnsiTheme="minorEastAsia" w:eastAsiaTheme="minorEastAsia" w:cstheme="minorEastAsia"/>
          <w:b w:val="0"/>
          <w:bCs/>
          <w:color w:val="auto"/>
          <w:sz w:val="24"/>
          <w:szCs w:val="24"/>
        </w:rPr>
        <w:t>备注：文物建筑及附属建筑的收购补偿金额按照以上补偿标准乘以房屋</w:t>
      </w:r>
      <w:r>
        <w:rPr>
          <w:rFonts w:hint="eastAsia" w:asciiTheme="minorEastAsia" w:hAnsiTheme="minorEastAsia" w:eastAsiaTheme="minorEastAsia" w:cstheme="minorEastAsia"/>
          <w:b w:val="0"/>
          <w:bCs/>
          <w:color w:val="auto"/>
          <w:sz w:val="24"/>
          <w:szCs w:val="24"/>
          <w:lang w:eastAsia="zh-CN"/>
        </w:rPr>
        <w:t>陈新</w:t>
      </w:r>
      <w:r>
        <w:rPr>
          <w:rFonts w:hint="eastAsia" w:asciiTheme="minorEastAsia" w:hAnsiTheme="minorEastAsia" w:eastAsiaTheme="minorEastAsia" w:cstheme="minorEastAsia"/>
          <w:b w:val="0"/>
          <w:bCs/>
          <w:color w:val="auto"/>
          <w:sz w:val="24"/>
          <w:szCs w:val="24"/>
        </w:rPr>
        <w:t>系数，具体由评估机构根据文物建筑及附属建筑的保存现状进行评估确定。</w:t>
      </w:r>
    </w:p>
    <w:p>
      <w:pPr>
        <w:rPr>
          <w:rFonts w:hint="eastAsia"/>
          <w:color w:val="auto"/>
          <w:shd w:val="clear" w:color="auto" w:fill="auto"/>
          <w:lang w:eastAsia="zh-CN"/>
        </w:rPr>
      </w:pPr>
      <w:r>
        <w:rPr>
          <w:rFonts w:hint="eastAsia"/>
          <w:color w:val="auto"/>
          <w:shd w:val="clear" w:color="auto" w:fill="auto"/>
          <w:lang w:eastAsia="zh-CN"/>
        </w:rPr>
        <w:br w:type="page"/>
      </w:r>
    </w:p>
    <w:p>
      <w:pPr>
        <w:rPr>
          <w:rFonts w:hint="eastAsia" w:ascii="黑体" w:hAnsi="黑体" w:eastAsia="黑体" w:cs="黑体"/>
          <w:b w:val="0"/>
          <w:bCs w:val="0"/>
          <w:color w:val="auto"/>
          <w:shd w:val="clear" w:color="auto" w:fill="auto"/>
          <w:lang w:val="en-US" w:eastAsia="zh-CN"/>
        </w:rPr>
      </w:pPr>
      <w:r>
        <w:rPr>
          <w:rFonts w:hint="eastAsia" w:ascii="黑体" w:hAnsi="黑体" w:eastAsia="黑体" w:cs="黑体"/>
          <w:b w:val="0"/>
          <w:bCs w:val="0"/>
          <w:color w:val="auto"/>
          <w:shd w:val="clear" w:color="auto" w:fill="auto"/>
          <w:lang w:eastAsia="zh-CN"/>
        </w:rPr>
        <w:t>附件</w:t>
      </w:r>
      <w:r>
        <w:rPr>
          <w:rFonts w:hint="eastAsia" w:ascii="黑体" w:hAnsi="黑体" w:eastAsia="黑体" w:cs="黑体"/>
          <w:b w:val="0"/>
          <w:bCs w:val="0"/>
          <w:color w:val="auto"/>
          <w:shd w:val="clear" w:color="auto" w:fill="auto"/>
          <w:lang w:val="en-US" w:eastAsia="zh-CN"/>
        </w:rPr>
        <w:t>2</w:t>
      </w:r>
    </w:p>
    <w:p>
      <w:pPr>
        <w:pStyle w:val="3"/>
        <w:jc w:val="center"/>
        <w:rPr>
          <w:rFonts w:hint="eastAsia" w:ascii="方正小标宋_GBK" w:hAnsi="方正小标宋_GBK" w:eastAsia="方正小标宋_GBK" w:cs="方正小标宋_GBK"/>
          <w:b w:val="0"/>
          <w:bCs w:val="0"/>
          <w:color w:val="auto"/>
          <w:kern w:val="2"/>
          <w:sz w:val="44"/>
          <w:szCs w:val="44"/>
          <w:shd w:val="clear" w:color="auto" w:fill="auto"/>
          <w:lang w:val="en-US" w:eastAsia="zh-CN" w:bidi="ar-SA"/>
        </w:rPr>
      </w:pPr>
      <w:r>
        <w:rPr>
          <w:rFonts w:hint="eastAsia" w:ascii="方正小标宋_GBK" w:hAnsi="方正小标宋_GBK" w:eastAsia="方正小标宋_GBK" w:cs="方正小标宋_GBK"/>
          <w:b w:val="0"/>
          <w:bCs w:val="0"/>
          <w:color w:val="auto"/>
          <w:kern w:val="2"/>
          <w:sz w:val="44"/>
          <w:szCs w:val="44"/>
          <w:shd w:val="clear" w:color="auto" w:fill="auto"/>
          <w:lang w:val="en-US" w:eastAsia="zh-CN" w:bidi="ar-SA"/>
        </w:rPr>
        <w:t>临时安置及搬家补助费用标准</w:t>
      </w:r>
    </w:p>
    <w:tbl>
      <w:tblPr>
        <w:tblStyle w:val="7"/>
        <w:tblW w:w="910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3934"/>
        <w:gridCol w:w="516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1650" w:hRule="atLeast"/>
        </w:trPr>
        <w:tc>
          <w:tcPr>
            <w:tcW w:w="39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auto"/>
                <w:sz w:val="28"/>
                <w:szCs w:val="28"/>
                <w:u w:val="none"/>
                <w:shd w:val="clear" w:color="auto" w:fill="auto"/>
              </w:rPr>
            </w:pPr>
            <w:r>
              <w:rPr>
                <w:rFonts w:hint="eastAsia" w:ascii="仿宋" w:hAnsi="仿宋" w:eastAsia="仿宋" w:cs="仿宋"/>
                <w:i w:val="0"/>
                <w:color w:val="auto"/>
                <w:kern w:val="0"/>
                <w:sz w:val="28"/>
                <w:szCs w:val="28"/>
                <w:u w:val="none"/>
                <w:shd w:val="clear" w:color="auto" w:fill="auto"/>
                <w:lang w:val="en-US" w:eastAsia="zh-CN" w:bidi="ar"/>
              </w:rPr>
              <w:t>临时安置补助费（元/人.月）</w:t>
            </w:r>
          </w:p>
        </w:tc>
        <w:tc>
          <w:tcPr>
            <w:tcW w:w="51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auto"/>
                <w:sz w:val="28"/>
                <w:szCs w:val="28"/>
                <w:u w:val="none"/>
                <w:shd w:val="clear" w:color="auto" w:fill="auto"/>
              </w:rPr>
            </w:pPr>
            <w:r>
              <w:rPr>
                <w:rFonts w:hint="eastAsia" w:ascii="仿宋" w:hAnsi="仿宋" w:eastAsia="仿宋" w:cs="仿宋"/>
                <w:i w:val="0"/>
                <w:color w:val="auto"/>
                <w:kern w:val="0"/>
                <w:sz w:val="28"/>
                <w:szCs w:val="28"/>
                <w:u w:val="none"/>
                <w:shd w:val="clear" w:color="auto" w:fill="auto"/>
                <w:lang w:val="en-US" w:eastAsia="zh-CN" w:bidi="ar"/>
              </w:rPr>
              <w:t>搬家补助费（元/人.次）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650" w:hRule="atLeast"/>
        </w:trPr>
        <w:tc>
          <w:tcPr>
            <w:tcW w:w="393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auto"/>
                <w:sz w:val="28"/>
                <w:szCs w:val="28"/>
                <w:u w:val="none"/>
                <w:shd w:val="clear" w:color="auto" w:fill="auto"/>
              </w:rPr>
            </w:pPr>
            <w:r>
              <w:rPr>
                <w:rFonts w:hint="eastAsia" w:ascii="仿宋" w:hAnsi="仿宋" w:eastAsia="仿宋" w:cs="仿宋"/>
                <w:i w:val="0"/>
                <w:color w:val="auto"/>
                <w:kern w:val="0"/>
                <w:sz w:val="28"/>
                <w:szCs w:val="28"/>
                <w:u w:val="none"/>
                <w:shd w:val="clear" w:color="auto" w:fill="auto"/>
                <w:lang w:val="en-US" w:eastAsia="zh-CN" w:bidi="ar"/>
              </w:rPr>
              <w:t>300</w:t>
            </w:r>
          </w:p>
        </w:tc>
        <w:tc>
          <w:tcPr>
            <w:tcW w:w="51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color w:val="auto"/>
                <w:sz w:val="28"/>
                <w:szCs w:val="28"/>
                <w:u w:val="none"/>
                <w:shd w:val="clear" w:color="auto" w:fill="auto"/>
              </w:rPr>
            </w:pPr>
            <w:r>
              <w:rPr>
                <w:rFonts w:hint="eastAsia" w:ascii="仿宋" w:hAnsi="仿宋" w:eastAsia="仿宋" w:cs="仿宋"/>
                <w:i w:val="0"/>
                <w:color w:val="auto"/>
                <w:kern w:val="0"/>
                <w:sz w:val="28"/>
                <w:szCs w:val="28"/>
                <w:u w:val="none"/>
                <w:shd w:val="clear" w:color="auto" w:fill="auto"/>
                <w:lang w:val="en-US" w:eastAsia="zh-CN" w:bidi="ar"/>
              </w:rPr>
              <w:t>500</w:t>
            </w:r>
          </w:p>
        </w:tc>
      </w:tr>
    </w:tbl>
    <w:p>
      <w:pPr>
        <w:rPr>
          <w:rFonts w:hint="eastAsia" w:asciiTheme="minorEastAsia" w:hAnsiTheme="minorEastAsia" w:eastAsiaTheme="minorEastAsia" w:cstheme="minorEastAsia"/>
          <w:color w:val="auto"/>
          <w:sz w:val="28"/>
          <w:szCs w:val="28"/>
          <w:shd w:val="clear" w:color="auto" w:fill="auto"/>
          <w:lang w:eastAsia="zh-CN"/>
        </w:rPr>
      </w:pPr>
      <w:r>
        <w:rPr>
          <w:rFonts w:hint="eastAsia" w:ascii="仿宋" w:hAnsi="仿宋" w:eastAsia="仿宋" w:cs="仿宋"/>
          <w:color w:val="auto"/>
          <w:sz w:val="28"/>
          <w:szCs w:val="28"/>
          <w:shd w:val="clear" w:color="auto" w:fill="auto"/>
          <w:lang w:eastAsia="zh-CN"/>
        </w:rPr>
        <w:t>备注：临时安置补助适用于因文物建筑产权被收购后暂无房屋居住的临时安置户。</w:t>
      </w:r>
    </w:p>
    <w:p>
      <w:pPr>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p>
      <w:pPr>
        <w:pStyle w:val="2"/>
        <w:rPr>
          <w:rFonts w:hint="eastAsia"/>
          <w:color w:val="auto"/>
          <w:shd w:val="clear" w:color="auto" w:fill="auto"/>
          <w:lang w:eastAsia="zh-CN"/>
        </w:rPr>
      </w:pPr>
    </w:p>
    <w:sectPr>
      <w:footerReference r:id="rId3" w:type="default"/>
      <w:pgSz w:w="11906" w:h="16838"/>
      <w:pgMar w:top="1701" w:right="1417" w:bottom="1417" w:left="1417" w:header="851" w:footer="992" w:gutter="0"/>
      <w:pgBorders>
        <w:top w:val="none" w:sz="0" w:space="0"/>
        <w:left w:val="none" w:sz="0" w:space="0"/>
        <w:bottom w:val="none" w:sz="0" w:space="0"/>
        <w:right w:val="none" w:sz="0" w:space="0"/>
      </w:pgBorders>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3802D8E1-46EB-4833-8442-25F32D57CCC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embedRegular r:id="rId2" w:fontKey="{86E70BF2-086E-4400-ABFC-173F9EA05C9A}"/>
  </w:font>
  <w:font w:name="方正仿宋_GB2312">
    <w:panose1 w:val="02000000000000000000"/>
    <w:charset w:val="86"/>
    <w:family w:val="auto"/>
    <w:pitch w:val="default"/>
    <w:sig w:usb0="A00002BF" w:usb1="184F6CFA" w:usb2="00000012" w:usb3="00000000" w:csb0="00040001" w:csb1="00000000"/>
  </w:font>
  <w:font w:name="方正小标宋简体">
    <w:panose1 w:val="03000509000000000000"/>
    <w:charset w:val="86"/>
    <w:family w:val="auto"/>
    <w:pitch w:val="default"/>
    <w:sig w:usb0="00000001" w:usb1="080E0000" w:usb2="00000000" w:usb3="00000000" w:csb0="00040000" w:csb1="00000000"/>
    <w:embedRegular r:id="rId3" w:fontKey="{4AD30ED1-D7A3-4B08-9121-0A30F63A07F1}"/>
  </w:font>
  <w:font w:name="仿宋_GB2312">
    <w:panose1 w:val="02010609030101010101"/>
    <w:charset w:val="86"/>
    <w:family w:val="modern"/>
    <w:pitch w:val="default"/>
    <w:sig w:usb0="00000001" w:usb1="080E0000" w:usb2="00000000" w:usb3="00000000" w:csb0="00040000" w:csb1="00000000"/>
    <w:embedRegular r:id="rId4" w:fontKey="{1CDF6437-6307-48D0-97B5-3ACC51CB8830}"/>
  </w:font>
  <w:font w:name="方正小标宋_GBK">
    <w:panose1 w:val="03000509000000000000"/>
    <w:charset w:val="86"/>
    <w:family w:val="auto"/>
    <w:pitch w:val="default"/>
    <w:sig w:usb0="00000001" w:usb1="080E0000" w:usb2="00000000" w:usb3="00000000" w:csb0="00040000" w:csb1="00000000"/>
    <w:embedRegular r:id="rId5" w:fontKey="{BB91FEE1-7BDE-4A2A-889F-92415D89947D}"/>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sz w:val="21"/>
                              <w:szCs w:val="40"/>
                            </w:rPr>
                          </w:pPr>
                          <w:r>
                            <w:rPr>
                              <w:rFonts w:hint="eastAsia"/>
                              <w:sz w:val="21"/>
                              <w:szCs w:val="40"/>
                            </w:rPr>
                            <w:fldChar w:fldCharType="begin"/>
                          </w:r>
                          <w:r>
                            <w:rPr>
                              <w:rFonts w:hint="eastAsia"/>
                              <w:sz w:val="21"/>
                              <w:szCs w:val="40"/>
                            </w:rPr>
                            <w:instrText xml:space="preserve"> PAGE  \* MERGEFORMAT </w:instrText>
                          </w:r>
                          <w:r>
                            <w:rPr>
                              <w:rFonts w:hint="eastAsia"/>
                              <w:sz w:val="21"/>
                              <w:szCs w:val="40"/>
                            </w:rPr>
                            <w:fldChar w:fldCharType="separate"/>
                          </w:r>
                          <w:r>
                            <w:rPr>
                              <w:sz w:val="21"/>
                              <w:szCs w:val="40"/>
                            </w:rPr>
                            <w:t>5</w:t>
                          </w:r>
                          <w:r>
                            <w:rPr>
                              <w:rFonts w:hint="eastAsia"/>
                              <w:sz w:val="21"/>
                              <w:szCs w:val="40"/>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pPr>
                      <w:pStyle w:val="4"/>
                      <w:rPr>
                        <w:sz w:val="21"/>
                        <w:szCs w:val="40"/>
                      </w:rPr>
                    </w:pPr>
                    <w:r>
                      <w:rPr>
                        <w:rFonts w:hint="eastAsia"/>
                        <w:sz w:val="21"/>
                        <w:szCs w:val="40"/>
                      </w:rPr>
                      <w:fldChar w:fldCharType="begin"/>
                    </w:r>
                    <w:r>
                      <w:rPr>
                        <w:rFonts w:hint="eastAsia"/>
                        <w:sz w:val="21"/>
                        <w:szCs w:val="40"/>
                      </w:rPr>
                      <w:instrText xml:space="preserve"> PAGE  \* MERGEFORMAT </w:instrText>
                    </w:r>
                    <w:r>
                      <w:rPr>
                        <w:rFonts w:hint="eastAsia"/>
                        <w:sz w:val="21"/>
                        <w:szCs w:val="40"/>
                      </w:rPr>
                      <w:fldChar w:fldCharType="separate"/>
                    </w:r>
                    <w:r>
                      <w:rPr>
                        <w:sz w:val="21"/>
                        <w:szCs w:val="40"/>
                      </w:rPr>
                      <w:t>5</w:t>
                    </w:r>
                    <w:r>
                      <w:rPr>
                        <w:rFonts w:hint="eastAsia"/>
                        <w:sz w:val="21"/>
                        <w:szCs w:val="40"/>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WZiOGNmNTRlMmUxZDExNTIzZDNjYjQ4OWY2MjU4NjIifQ=="/>
  </w:docVars>
  <w:rsids>
    <w:rsidRoot w:val="6A4A0CE4"/>
    <w:rsid w:val="00064C6A"/>
    <w:rsid w:val="00085ABF"/>
    <w:rsid w:val="000B2E32"/>
    <w:rsid w:val="000F36E6"/>
    <w:rsid w:val="00150854"/>
    <w:rsid w:val="001562D1"/>
    <w:rsid w:val="001602B9"/>
    <w:rsid w:val="0019275A"/>
    <w:rsid w:val="001B658E"/>
    <w:rsid w:val="0020789E"/>
    <w:rsid w:val="00216004"/>
    <w:rsid w:val="002E4C20"/>
    <w:rsid w:val="0030420C"/>
    <w:rsid w:val="0030551D"/>
    <w:rsid w:val="003117DA"/>
    <w:rsid w:val="003733A4"/>
    <w:rsid w:val="003D27A2"/>
    <w:rsid w:val="003E0F14"/>
    <w:rsid w:val="003F3584"/>
    <w:rsid w:val="003F5B93"/>
    <w:rsid w:val="0049247A"/>
    <w:rsid w:val="004B035F"/>
    <w:rsid w:val="004B3BB0"/>
    <w:rsid w:val="004E0D29"/>
    <w:rsid w:val="00542D1D"/>
    <w:rsid w:val="00596E2F"/>
    <w:rsid w:val="005A51C7"/>
    <w:rsid w:val="005D70C0"/>
    <w:rsid w:val="005F7679"/>
    <w:rsid w:val="00614479"/>
    <w:rsid w:val="0063711D"/>
    <w:rsid w:val="0065063D"/>
    <w:rsid w:val="00693EA9"/>
    <w:rsid w:val="006A3FF2"/>
    <w:rsid w:val="006A6873"/>
    <w:rsid w:val="006C0DFE"/>
    <w:rsid w:val="006D2C34"/>
    <w:rsid w:val="006D68B8"/>
    <w:rsid w:val="006E202A"/>
    <w:rsid w:val="006E2A6C"/>
    <w:rsid w:val="0072044D"/>
    <w:rsid w:val="007C5B8E"/>
    <w:rsid w:val="007D3AD1"/>
    <w:rsid w:val="007E41C1"/>
    <w:rsid w:val="0087485F"/>
    <w:rsid w:val="00883328"/>
    <w:rsid w:val="008A2EB0"/>
    <w:rsid w:val="008C6CA0"/>
    <w:rsid w:val="008D700F"/>
    <w:rsid w:val="008F4D1C"/>
    <w:rsid w:val="009022A7"/>
    <w:rsid w:val="009E4C4B"/>
    <w:rsid w:val="00A647DD"/>
    <w:rsid w:val="00A8475C"/>
    <w:rsid w:val="00AF186F"/>
    <w:rsid w:val="00B97FA2"/>
    <w:rsid w:val="00C26A7D"/>
    <w:rsid w:val="00C339CD"/>
    <w:rsid w:val="00C47FE4"/>
    <w:rsid w:val="00C93548"/>
    <w:rsid w:val="00CC131D"/>
    <w:rsid w:val="00CD2EF4"/>
    <w:rsid w:val="00D34EE0"/>
    <w:rsid w:val="00D97E8F"/>
    <w:rsid w:val="00DF3468"/>
    <w:rsid w:val="00E270E6"/>
    <w:rsid w:val="00E816EA"/>
    <w:rsid w:val="00ED5C44"/>
    <w:rsid w:val="00EE6C78"/>
    <w:rsid w:val="00F15BC3"/>
    <w:rsid w:val="00F5213E"/>
    <w:rsid w:val="00F6424E"/>
    <w:rsid w:val="00F761AD"/>
    <w:rsid w:val="00F91975"/>
    <w:rsid w:val="00FE2955"/>
    <w:rsid w:val="00FF7F59"/>
    <w:rsid w:val="033F78C1"/>
    <w:rsid w:val="04023CBD"/>
    <w:rsid w:val="043C53D3"/>
    <w:rsid w:val="04DE0F5B"/>
    <w:rsid w:val="05106822"/>
    <w:rsid w:val="05D63963"/>
    <w:rsid w:val="05DB2294"/>
    <w:rsid w:val="06AE360E"/>
    <w:rsid w:val="06F03CDC"/>
    <w:rsid w:val="07D0475F"/>
    <w:rsid w:val="08720A78"/>
    <w:rsid w:val="09E53F1D"/>
    <w:rsid w:val="0C1F6587"/>
    <w:rsid w:val="0CB904A6"/>
    <w:rsid w:val="0DDB2C07"/>
    <w:rsid w:val="0F7140EC"/>
    <w:rsid w:val="0FF730AC"/>
    <w:rsid w:val="11755A2B"/>
    <w:rsid w:val="11F966B7"/>
    <w:rsid w:val="12D778B2"/>
    <w:rsid w:val="12FC7291"/>
    <w:rsid w:val="13023A82"/>
    <w:rsid w:val="13A94BE6"/>
    <w:rsid w:val="146A0B9A"/>
    <w:rsid w:val="14A576D1"/>
    <w:rsid w:val="14DA5434"/>
    <w:rsid w:val="15C54C7F"/>
    <w:rsid w:val="16B02BE4"/>
    <w:rsid w:val="182C5D5B"/>
    <w:rsid w:val="1AA06FDF"/>
    <w:rsid w:val="1B3E36C0"/>
    <w:rsid w:val="1BC46721"/>
    <w:rsid w:val="1C016E33"/>
    <w:rsid w:val="1D7F41F7"/>
    <w:rsid w:val="1EE0693E"/>
    <w:rsid w:val="201C2920"/>
    <w:rsid w:val="20C62399"/>
    <w:rsid w:val="20D75FB0"/>
    <w:rsid w:val="20E1735A"/>
    <w:rsid w:val="212960A2"/>
    <w:rsid w:val="22734BDC"/>
    <w:rsid w:val="22E521FA"/>
    <w:rsid w:val="237E5CA6"/>
    <w:rsid w:val="265B3EA6"/>
    <w:rsid w:val="275A600F"/>
    <w:rsid w:val="277F1584"/>
    <w:rsid w:val="2787454C"/>
    <w:rsid w:val="279D4BAF"/>
    <w:rsid w:val="27E3119B"/>
    <w:rsid w:val="28FB36A5"/>
    <w:rsid w:val="2A54128C"/>
    <w:rsid w:val="2B703975"/>
    <w:rsid w:val="2C9A057F"/>
    <w:rsid w:val="2CE754F1"/>
    <w:rsid w:val="2D050128"/>
    <w:rsid w:val="2D4A558F"/>
    <w:rsid w:val="2D615791"/>
    <w:rsid w:val="2D8748E9"/>
    <w:rsid w:val="2E20660A"/>
    <w:rsid w:val="2FB638FF"/>
    <w:rsid w:val="301D724A"/>
    <w:rsid w:val="31186B74"/>
    <w:rsid w:val="3177466B"/>
    <w:rsid w:val="31D57054"/>
    <w:rsid w:val="3307615F"/>
    <w:rsid w:val="3456750E"/>
    <w:rsid w:val="34CA14E6"/>
    <w:rsid w:val="373822B9"/>
    <w:rsid w:val="391F2A1B"/>
    <w:rsid w:val="3A2D5F58"/>
    <w:rsid w:val="3A412CE8"/>
    <w:rsid w:val="3A43472F"/>
    <w:rsid w:val="3A7955B2"/>
    <w:rsid w:val="3B3746F0"/>
    <w:rsid w:val="3BE25D49"/>
    <w:rsid w:val="3C0003B9"/>
    <w:rsid w:val="3C5E3DE7"/>
    <w:rsid w:val="3E834C59"/>
    <w:rsid w:val="3F43446E"/>
    <w:rsid w:val="40BD7CD1"/>
    <w:rsid w:val="40D523F0"/>
    <w:rsid w:val="410F7C21"/>
    <w:rsid w:val="42994974"/>
    <w:rsid w:val="42DB6346"/>
    <w:rsid w:val="43140E7F"/>
    <w:rsid w:val="43835FFA"/>
    <w:rsid w:val="446B67BC"/>
    <w:rsid w:val="447553D1"/>
    <w:rsid w:val="44DA5B29"/>
    <w:rsid w:val="45A1730C"/>
    <w:rsid w:val="45F44B3F"/>
    <w:rsid w:val="461D2AA5"/>
    <w:rsid w:val="46292989"/>
    <w:rsid w:val="47E800B8"/>
    <w:rsid w:val="4A216FFA"/>
    <w:rsid w:val="4ABD4A01"/>
    <w:rsid w:val="4AD64296"/>
    <w:rsid w:val="4AE05C09"/>
    <w:rsid w:val="4BAC1981"/>
    <w:rsid w:val="4C523D7E"/>
    <w:rsid w:val="4C5A4B2E"/>
    <w:rsid w:val="4E1C7F56"/>
    <w:rsid w:val="4E581B09"/>
    <w:rsid w:val="4E9E7206"/>
    <w:rsid w:val="4F653725"/>
    <w:rsid w:val="4F900252"/>
    <w:rsid w:val="4FF00841"/>
    <w:rsid w:val="50397177"/>
    <w:rsid w:val="510D0B38"/>
    <w:rsid w:val="54DB060C"/>
    <w:rsid w:val="54EA209D"/>
    <w:rsid w:val="569F31F6"/>
    <w:rsid w:val="57812F2D"/>
    <w:rsid w:val="58BF0AE2"/>
    <w:rsid w:val="5B025C0B"/>
    <w:rsid w:val="5BD353A6"/>
    <w:rsid w:val="5CA11F58"/>
    <w:rsid w:val="5D2A5674"/>
    <w:rsid w:val="5EC95E12"/>
    <w:rsid w:val="5F882EBA"/>
    <w:rsid w:val="5FE772A7"/>
    <w:rsid w:val="60923F33"/>
    <w:rsid w:val="611F660B"/>
    <w:rsid w:val="61371C80"/>
    <w:rsid w:val="614C33F9"/>
    <w:rsid w:val="6217363F"/>
    <w:rsid w:val="63573A25"/>
    <w:rsid w:val="63DD7D62"/>
    <w:rsid w:val="64480F37"/>
    <w:rsid w:val="65564780"/>
    <w:rsid w:val="66DC5AC7"/>
    <w:rsid w:val="67A76DCF"/>
    <w:rsid w:val="68AD7E6E"/>
    <w:rsid w:val="6A4A0CE4"/>
    <w:rsid w:val="6A7A68E8"/>
    <w:rsid w:val="6A8722B0"/>
    <w:rsid w:val="6BD501DE"/>
    <w:rsid w:val="6C73530E"/>
    <w:rsid w:val="6CC63FB5"/>
    <w:rsid w:val="6CE16A77"/>
    <w:rsid w:val="6EA52C83"/>
    <w:rsid w:val="6F2C76FB"/>
    <w:rsid w:val="6F9F0874"/>
    <w:rsid w:val="701F00D4"/>
    <w:rsid w:val="708D7320"/>
    <w:rsid w:val="70BE73BA"/>
    <w:rsid w:val="70F70915"/>
    <w:rsid w:val="710E0300"/>
    <w:rsid w:val="71A01CD2"/>
    <w:rsid w:val="71D63AEF"/>
    <w:rsid w:val="726B5CB0"/>
    <w:rsid w:val="72B1504D"/>
    <w:rsid w:val="72B72A97"/>
    <w:rsid w:val="74204729"/>
    <w:rsid w:val="7465019F"/>
    <w:rsid w:val="74B209B2"/>
    <w:rsid w:val="74E7478F"/>
    <w:rsid w:val="753C3C93"/>
    <w:rsid w:val="75993951"/>
    <w:rsid w:val="75AF0690"/>
    <w:rsid w:val="75DE16E2"/>
    <w:rsid w:val="760134D8"/>
    <w:rsid w:val="76C92EE8"/>
    <w:rsid w:val="783E19B9"/>
    <w:rsid w:val="797468BC"/>
    <w:rsid w:val="7BDE1356"/>
    <w:rsid w:val="7C1C4DA0"/>
    <w:rsid w:val="7C8909CB"/>
    <w:rsid w:val="7C8A6D3E"/>
    <w:rsid w:val="7DAB4B65"/>
    <w:rsid w:val="7E523B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99"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eastAsia="仿宋" w:asciiTheme="minorHAnsi" w:hAnsiTheme="minorHAnsi" w:cstheme="minorBidi"/>
      <w:kern w:val="2"/>
      <w:sz w:val="32"/>
      <w:szCs w:val="3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footnote text"/>
    <w:basedOn w:val="1"/>
    <w:qFormat/>
    <w:uiPriority w:val="99"/>
    <w:pPr>
      <w:snapToGrid w:val="0"/>
      <w:jc w:val="left"/>
    </w:pPr>
    <w:rPr>
      <w:sz w:val="18"/>
      <w:szCs w:val="18"/>
    </w:rPr>
  </w:style>
  <w:style w:type="paragraph" w:styleId="3">
    <w:name w:val="Salutation"/>
    <w:basedOn w:val="1"/>
    <w:next w:val="1"/>
    <w:qFormat/>
    <w:uiPriority w:val="0"/>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6">
    <w:name w:val="Normal (Web)"/>
    <w:basedOn w:val="1"/>
    <w:qFormat/>
    <w:uiPriority w:val="0"/>
    <w:pPr>
      <w:spacing w:beforeAutospacing="1" w:afterAutospacing="1"/>
      <w:jc w:val="left"/>
    </w:pPr>
    <w:rPr>
      <w:rFonts w:cs="Times New Roman"/>
      <w:kern w:val="0"/>
      <w:sz w:val="24"/>
    </w:rPr>
  </w:style>
  <w:style w:type="character" w:styleId="9">
    <w:name w:val="Strong"/>
    <w:basedOn w:val="8"/>
    <w:qFormat/>
    <w:uiPriority w:val="0"/>
    <w:rPr>
      <w:b/>
    </w:rPr>
  </w:style>
  <w:style w:type="paragraph" w:styleId="10">
    <w:name w:val="List Paragraph"/>
    <w:basedOn w:val="1"/>
    <w:qFormat/>
    <w:uiPriority w:val="99"/>
    <w:pPr>
      <w:ind w:firstLine="420" w:firstLineChars="200"/>
    </w:pPr>
  </w:style>
  <w:style w:type="paragraph" w:customStyle="1" w:styleId="11">
    <w:name w:val="Body text|1"/>
    <w:basedOn w:val="1"/>
    <w:qFormat/>
    <w:uiPriority w:val="0"/>
    <w:pPr>
      <w:widowControl w:val="0"/>
      <w:shd w:val="clear" w:color="auto" w:fill="auto"/>
      <w:spacing w:line="418" w:lineRule="auto"/>
      <w:ind w:firstLine="400"/>
    </w:pPr>
    <w:rPr>
      <w:rFonts w:ascii="宋体" w:hAnsi="宋体" w:eastAsia="宋体" w:cs="宋体"/>
      <w:sz w:val="92"/>
      <w:szCs w:val="92"/>
      <w:u w:val="none"/>
      <w:shd w:val="clear" w:color="auto" w:fill="auto"/>
      <w:lang w:val="zh-TW" w:eastAsia="zh-TW" w:bidi="zh-TW"/>
    </w:rPr>
  </w:style>
  <w:style w:type="paragraph" w:customStyle="1" w:styleId="12">
    <w:name w:val="Body text|5"/>
    <w:basedOn w:val="1"/>
    <w:qFormat/>
    <w:uiPriority w:val="0"/>
    <w:pPr>
      <w:widowControl w:val="0"/>
      <w:shd w:val="clear" w:color="auto" w:fill="auto"/>
    </w:pPr>
    <w:rPr>
      <w:b/>
      <w:bCs/>
      <w:sz w:val="28"/>
      <w:szCs w:val="28"/>
      <w:u w:val="none"/>
      <w:shd w:val="clear" w:color="auto" w:fill="FFFFFF"/>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11</Pages>
  <Words>5277</Words>
  <Characters>5389</Characters>
  <Lines>23</Lines>
  <Paragraphs>6</Paragraphs>
  <TotalTime>77</TotalTime>
  <ScaleCrop>false</ScaleCrop>
  <LinksUpToDate>false</LinksUpToDate>
  <CharactersWithSpaces>5524</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2021-07-27T01:17:00Z</dcterms:created>
  <dc:creator>晨路快印社</dc:creator>
  <cp:lastModifiedBy>sec</cp:lastModifiedBy>
  <cp:lastPrinted>2022-10-19T08:18:00Z</cp:lastPrinted>
  <dcterms:modified xsi:type="dcterms:W3CDTF">2023-02-22T02:07:52Z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B789506F43034CAAAB7415D994403747</vt:lpwstr>
  </property>
</Properties>
</file>