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ind w:firstLine="0" w:firstLineChars="0"/>
        <w:rPr>
          <w:rFonts w:ascii="方正小标宋简体" w:hAnsi="方正小标宋简体" w:eastAsia="方正小标宋简体" w:cs="方正小标宋简体"/>
          <w:sz w:val="72"/>
          <w:szCs w:val="72"/>
        </w:rPr>
      </w:pPr>
    </w:p>
    <w:p>
      <w:pPr>
        <w:spacing w:line="1000" w:lineRule="exact"/>
        <w:ind w:firstLine="0" w:firstLineChars="0"/>
        <w:rPr>
          <w:rFonts w:ascii="方正小标宋简体" w:hAnsi="方正小标宋简体" w:eastAsia="方正小标宋简体" w:cs="方正小标宋简体"/>
          <w:sz w:val="72"/>
          <w:szCs w:val="72"/>
        </w:rPr>
      </w:pPr>
    </w:p>
    <w:p>
      <w:pPr>
        <w:spacing w:line="1000" w:lineRule="exact"/>
        <w:ind w:firstLine="0" w:firstLineChars="0"/>
        <w:rPr>
          <w:rFonts w:ascii="微软雅黑" w:hAnsi="微软雅黑" w:eastAsia="微软雅黑" w:cs="微软雅黑"/>
          <w:b/>
          <w:bCs/>
          <w:sz w:val="56"/>
          <w:szCs w:val="48"/>
        </w:rPr>
      </w:pPr>
      <w:r>
        <w:rPr>
          <w:rFonts w:hint="eastAsia" w:ascii="方正小标宋简体" w:hAnsi="方正小标宋简体" w:eastAsia="方正小标宋简体" w:cs="方正小标宋简体"/>
          <w:sz w:val="72"/>
          <w:szCs w:val="72"/>
        </w:rPr>
        <w:t>隆回县“十四五”城镇建设</w:t>
      </w:r>
    </w:p>
    <w:p>
      <w:pPr>
        <w:ind w:firstLine="2240"/>
        <w:rPr>
          <w:rFonts w:ascii="隶书" w:hAnsi="隶书" w:eastAsia="隶书" w:cs="隶书"/>
          <w:sz w:val="112"/>
          <w:szCs w:val="112"/>
        </w:rPr>
      </w:pPr>
      <w:r>
        <w:rPr>
          <w:rFonts w:hint="eastAsia" w:ascii="隶书" w:hAnsi="隶书" w:eastAsia="隶书" w:cs="隶书"/>
          <w:sz w:val="112"/>
          <w:szCs w:val="112"/>
        </w:rPr>
        <w:t>发展规划</w:t>
      </w:r>
    </w:p>
    <w:p>
      <w:pPr>
        <w:ind w:firstLine="2400" w:firstLineChars="400"/>
        <w:rPr>
          <w:rFonts w:ascii="隶书" w:hAnsi="隶书" w:eastAsia="隶书" w:cs="隶书"/>
          <w:sz w:val="100"/>
          <w:szCs w:val="100"/>
        </w:rPr>
      </w:pPr>
      <w:r>
        <w:rPr>
          <w:rFonts w:hint="eastAsia" w:ascii="隶书" w:hAnsi="隶书" w:eastAsia="隶书" w:cs="隶书"/>
          <w:sz w:val="60"/>
          <w:szCs w:val="60"/>
        </w:rPr>
        <w:t>（2021-2025）</w:t>
      </w:r>
    </w:p>
    <w:p>
      <w:pPr>
        <w:ind w:firstLine="560"/>
        <w:rPr>
          <w:b/>
          <w:bCs/>
          <w:sz w:val="32"/>
        </w:rPr>
      </w:pPr>
      <w:r>
        <w:rPr>
          <w:rFonts w:hint="eastAsia"/>
        </w:rPr>
        <w:t xml:space="preserve">                </w:t>
      </w:r>
      <w:r>
        <w:rPr>
          <w:rFonts w:hint="eastAsia"/>
          <w:b/>
          <w:bCs/>
          <w:sz w:val="32"/>
        </w:rPr>
        <w:t xml:space="preserve">     </w:t>
      </w:r>
    </w:p>
    <w:p>
      <w:pPr>
        <w:ind w:firstLine="643"/>
        <w:rPr>
          <w:b/>
          <w:bCs/>
          <w:sz w:val="32"/>
        </w:rPr>
      </w:pPr>
    </w:p>
    <w:p>
      <w:pPr>
        <w:ind w:firstLine="560"/>
      </w:pPr>
    </w:p>
    <w:p>
      <w:pPr>
        <w:pStyle w:val="2"/>
        <w:ind w:firstLine="0" w:firstLineChars="0"/>
      </w:pPr>
    </w:p>
    <w:p>
      <w:pPr>
        <w:pStyle w:val="3"/>
        <w:ind w:firstLine="560"/>
      </w:pPr>
    </w:p>
    <w:p>
      <w:pPr>
        <w:pStyle w:val="3"/>
        <w:ind w:firstLine="560"/>
      </w:pPr>
    </w:p>
    <w:p>
      <w:pPr>
        <w:pStyle w:val="3"/>
        <w:ind w:firstLine="560"/>
      </w:pPr>
    </w:p>
    <w:p>
      <w:pPr>
        <w:pStyle w:val="3"/>
        <w:ind w:firstLine="560"/>
      </w:pPr>
    </w:p>
    <w:p>
      <w:pPr>
        <w:ind w:firstLine="2400" w:firstLineChars="600"/>
        <w:rPr>
          <w:rFonts w:ascii="方正楷体_GBK" w:hAnsi="方正楷体_GBK" w:eastAsia="方正楷体_GBK" w:cs="方正楷体_GBK"/>
          <w:sz w:val="40"/>
          <w:szCs w:val="40"/>
        </w:rPr>
      </w:pPr>
      <w:r>
        <w:rPr>
          <w:rFonts w:hint="eastAsia" w:ascii="方正楷体_GBK" w:hAnsi="方正楷体_GBK" w:eastAsia="方正楷体_GBK" w:cs="方正楷体_GBK"/>
          <w:sz w:val="40"/>
          <w:szCs w:val="40"/>
        </w:rPr>
        <w:t>隆回县住房和城乡建设局</w:t>
      </w:r>
    </w:p>
    <w:p>
      <w:pPr>
        <w:ind w:firstLine="3200" w:firstLineChars="800"/>
      </w:pPr>
      <w:r>
        <w:rPr>
          <w:rFonts w:hint="eastAsia" w:ascii="方正楷体_GBK" w:hAnsi="方正楷体_GBK" w:eastAsia="方正楷体_GBK" w:cs="方正楷体_GBK"/>
          <w:sz w:val="40"/>
          <w:szCs w:val="40"/>
        </w:rPr>
        <w:t>二〇二一年三月</w:t>
      </w:r>
    </w:p>
    <w:p>
      <w:pPr>
        <w:pStyle w:val="70"/>
        <w:ind w:firstLine="3840" w:firstLineChars="1200"/>
        <w:rPr>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701" w:header="851" w:footer="992" w:gutter="0"/>
          <w:cols w:space="720" w:num="1"/>
          <w:docGrid w:type="lines" w:linePitch="312" w:charSpace="0"/>
        </w:sectPr>
      </w:pPr>
    </w:p>
    <w:p>
      <w:pPr>
        <w:pStyle w:val="16"/>
        <w:tabs>
          <w:tab w:val="right" w:leader="dot" w:pos="8787"/>
        </w:tabs>
        <w:ind w:firstLine="560"/>
        <w:rPr>
          <w:b/>
          <w:bCs/>
          <w:sz w:val="40"/>
          <w:szCs w:val="36"/>
        </w:rPr>
      </w:pPr>
      <w:bookmarkStart w:id="0" w:name="_Toc22663"/>
      <w:bookmarkStart w:id="1" w:name="_Toc22342"/>
      <w:r>
        <w:rPr>
          <w:rFonts w:hint="eastAsia"/>
        </w:rPr>
        <w:t xml:space="preserve">                        </w:t>
      </w:r>
      <w:r>
        <w:rPr>
          <w:rFonts w:hint="eastAsia"/>
          <w:b/>
          <w:bCs/>
          <w:sz w:val="40"/>
          <w:szCs w:val="36"/>
        </w:rPr>
        <w:t>目   录</w:t>
      </w:r>
    </w:p>
    <w:p>
      <w:pPr>
        <w:pStyle w:val="16"/>
        <w:tabs>
          <w:tab w:val="right" w:leader="dot" w:pos="8787"/>
        </w:tabs>
      </w:pPr>
      <w:r>
        <w:fldChar w:fldCharType="begin"/>
      </w:r>
      <w:r>
        <w:instrText xml:space="preserve">TOC \o "1-2" \u </w:instrText>
      </w:r>
      <w:r>
        <w:fldChar w:fldCharType="separate"/>
      </w:r>
      <w:r>
        <w:rPr>
          <w:rFonts w:hint="eastAsia"/>
        </w:rPr>
        <w:t>前 言</w:t>
      </w:r>
      <w:r>
        <w:tab/>
      </w:r>
      <w:r>
        <w:fldChar w:fldCharType="begin"/>
      </w:r>
      <w:r>
        <w:instrText xml:space="preserve"> PAGEREF _Toc29142 \h </w:instrText>
      </w:r>
      <w:r>
        <w:fldChar w:fldCharType="separate"/>
      </w:r>
      <w:r>
        <w:t>3</w:t>
      </w:r>
      <w:r>
        <w:fldChar w:fldCharType="end"/>
      </w:r>
    </w:p>
    <w:p>
      <w:pPr>
        <w:pStyle w:val="16"/>
        <w:tabs>
          <w:tab w:val="right" w:leader="dot" w:pos="8787"/>
        </w:tabs>
      </w:pPr>
      <w:r>
        <w:rPr>
          <w:rFonts w:hint="eastAsia"/>
        </w:rPr>
        <w:t>第一章 规划背景和发展基础</w:t>
      </w:r>
      <w:r>
        <w:tab/>
      </w:r>
      <w:r>
        <w:fldChar w:fldCharType="begin"/>
      </w:r>
      <w:r>
        <w:instrText xml:space="preserve"> PAGEREF _Toc8804 \h </w:instrText>
      </w:r>
      <w:r>
        <w:fldChar w:fldCharType="separate"/>
      </w:r>
      <w:r>
        <w:t>6</w:t>
      </w:r>
      <w:r>
        <w:fldChar w:fldCharType="end"/>
      </w:r>
    </w:p>
    <w:p>
      <w:pPr>
        <w:pStyle w:val="19"/>
        <w:tabs>
          <w:tab w:val="right" w:leader="dot" w:pos="8787"/>
        </w:tabs>
      </w:pPr>
      <w:r>
        <w:rPr>
          <w:rFonts w:hint="eastAsia"/>
        </w:rPr>
        <w:t>第一节 规划背景</w:t>
      </w:r>
      <w:r>
        <w:tab/>
      </w:r>
      <w:r>
        <w:fldChar w:fldCharType="begin"/>
      </w:r>
      <w:r>
        <w:instrText xml:space="preserve"> PAGEREF _Toc17853 \h </w:instrText>
      </w:r>
      <w:r>
        <w:fldChar w:fldCharType="separate"/>
      </w:r>
      <w:r>
        <w:t>6</w:t>
      </w:r>
      <w:r>
        <w:fldChar w:fldCharType="end"/>
      </w:r>
    </w:p>
    <w:p>
      <w:pPr>
        <w:pStyle w:val="19"/>
        <w:tabs>
          <w:tab w:val="right" w:leader="dot" w:pos="8787"/>
        </w:tabs>
      </w:pPr>
      <w:r>
        <w:rPr>
          <w:rFonts w:hint="eastAsia"/>
        </w:rPr>
        <w:t>第二节 发展基础</w:t>
      </w:r>
      <w:r>
        <w:tab/>
      </w:r>
      <w:r>
        <w:fldChar w:fldCharType="begin"/>
      </w:r>
      <w:r>
        <w:instrText xml:space="preserve"> PAGEREF _Toc4247 \h </w:instrText>
      </w:r>
      <w:r>
        <w:fldChar w:fldCharType="separate"/>
      </w:r>
      <w:r>
        <w:t>6</w:t>
      </w:r>
      <w:r>
        <w:fldChar w:fldCharType="end"/>
      </w:r>
    </w:p>
    <w:p>
      <w:pPr>
        <w:pStyle w:val="19"/>
        <w:tabs>
          <w:tab w:val="right" w:leader="dot" w:pos="8787"/>
        </w:tabs>
      </w:pPr>
      <w:r>
        <w:rPr>
          <w:rFonts w:hint="eastAsia"/>
        </w:rPr>
        <w:t>第三节 现实差距</w:t>
      </w:r>
      <w:r>
        <w:tab/>
      </w:r>
      <w:r>
        <w:fldChar w:fldCharType="begin"/>
      </w:r>
      <w:r>
        <w:instrText xml:space="preserve"> PAGEREF _Toc2437 \h </w:instrText>
      </w:r>
      <w:r>
        <w:fldChar w:fldCharType="separate"/>
      </w:r>
      <w:r>
        <w:t>10</w:t>
      </w:r>
      <w:r>
        <w:fldChar w:fldCharType="end"/>
      </w:r>
    </w:p>
    <w:p>
      <w:pPr>
        <w:pStyle w:val="16"/>
        <w:tabs>
          <w:tab w:val="right" w:leader="dot" w:pos="8787"/>
        </w:tabs>
      </w:pPr>
      <w:r>
        <w:rPr>
          <w:rFonts w:hint="eastAsia"/>
        </w:rPr>
        <w:t>第二章 机遇挑战</w:t>
      </w:r>
      <w:r>
        <w:tab/>
      </w:r>
      <w:r>
        <w:fldChar w:fldCharType="begin"/>
      </w:r>
      <w:r>
        <w:instrText xml:space="preserve"> PAGEREF _Toc19129 \h </w:instrText>
      </w:r>
      <w:r>
        <w:fldChar w:fldCharType="separate"/>
      </w:r>
      <w:r>
        <w:t>14</w:t>
      </w:r>
      <w:r>
        <w:fldChar w:fldCharType="end"/>
      </w:r>
    </w:p>
    <w:p>
      <w:pPr>
        <w:pStyle w:val="19"/>
        <w:tabs>
          <w:tab w:val="right" w:leader="dot" w:pos="8787"/>
        </w:tabs>
      </w:pPr>
      <w:r>
        <w:rPr>
          <w:rFonts w:hint="eastAsia"/>
        </w:rPr>
        <w:t>第一节 建设机遇</w:t>
      </w:r>
      <w:r>
        <w:tab/>
      </w:r>
      <w:r>
        <w:fldChar w:fldCharType="begin"/>
      </w:r>
      <w:r>
        <w:instrText xml:space="preserve"> PAGEREF _Toc32454 \h </w:instrText>
      </w:r>
      <w:r>
        <w:fldChar w:fldCharType="separate"/>
      </w:r>
      <w:r>
        <w:t>14</w:t>
      </w:r>
      <w:r>
        <w:fldChar w:fldCharType="end"/>
      </w:r>
    </w:p>
    <w:p>
      <w:pPr>
        <w:pStyle w:val="19"/>
        <w:tabs>
          <w:tab w:val="right" w:leader="dot" w:pos="8787"/>
        </w:tabs>
      </w:pPr>
      <w:r>
        <w:rPr>
          <w:rFonts w:hint="eastAsia"/>
        </w:rPr>
        <w:t>第二节 建设挑战</w:t>
      </w:r>
      <w:r>
        <w:tab/>
      </w:r>
      <w:r>
        <w:fldChar w:fldCharType="begin"/>
      </w:r>
      <w:r>
        <w:instrText xml:space="preserve"> PAGEREF _Toc3792 \h </w:instrText>
      </w:r>
      <w:r>
        <w:fldChar w:fldCharType="separate"/>
      </w:r>
      <w:r>
        <w:t>16</w:t>
      </w:r>
      <w:r>
        <w:fldChar w:fldCharType="end"/>
      </w:r>
    </w:p>
    <w:p>
      <w:pPr>
        <w:pStyle w:val="16"/>
        <w:tabs>
          <w:tab w:val="right" w:leader="dot" w:pos="8787"/>
        </w:tabs>
      </w:pPr>
      <w:r>
        <w:rPr>
          <w:rFonts w:hint="eastAsia"/>
        </w:rPr>
        <w:t>第三章 指导思想与规划目标</w:t>
      </w:r>
      <w:r>
        <w:tab/>
      </w:r>
      <w:r>
        <w:fldChar w:fldCharType="begin"/>
      </w:r>
      <w:r>
        <w:instrText xml:space="preserve"> PAGEREF _Toc24724 \h </w:instrText>
      </w:r>
      <w:r>
        <w:fldChar w:fldCharType="separate"/>
      </w:r>
      <w:r>
        <w:t>18</w:t>
      </w:r>
      <w:r>
        <w:fldChar w:fldCharType="end"/>
      </w:r>
    </w:p>
    <w:p>
      <w:pPr>
        <w:pStyle w:val="19"/>
        <w:tabs>
          <w:tab w:val="right" w:leader="dot" w:pos="8787"/>
        </w:tabs>
      </w:pPr>
      <w:r>
        <w:rPr>
          <w:rFonts w:hint="eastAsia"/>
        </w:rPr>
        <w:t>第一节 指导思想</w:t>
      </w:r>
      <w:r>
        <w:tab/>
      </w:r>
      <w:r>
        <w:fldChar w:fldCharType="begin"/>
      </w:r>
      <w:r>
        <w:instrText xml:space="preserve"> PAGEREF _Toc4685 \h </w:instrText>
      </w:r>
      <w:r>
        <w:fldChar w:fldCharType="separate"/>
      </w:r>
      <w:r>
        <w:t>18</w:t>
      </w:r>
      <w:r>
        <w:fldChar w:fldCharType="end"/>
      </w:r>
    </w:p>
    <w:p>
      <w:pPr>
        <w:pStyle w:val="19"/>
        <w:tabs>
          <w:tab w:val="right" w:leader="dot" w:pos="8787"/>
        </w:tabs>
      </w:pPr>
      <w:r>
        <w:rPr>
          <w:rFonts w:hint="eastAsia"/>
        </w:rPr>
        <w:t>第二节 基本原则</w:t>
      </w:r>
      <w:r>
        <w:tab/>
      </w:r>
      <w:r>
        <w:fldChar w:fldCharType="begin"/>
      </w:r>
      <w:r>
        <w:instrText xml:space="preserve"> PAGEREF _Toc16897 \h </w:instrText>
      </w:r>
      <w:r>
        <w:fldChar w:fldCharType="separate"/>
      </w:r>
      <w:r>
        <w:t>18</w:t>
      </w:r>
      <w:r>
        <w:fldChar w:fldCharType="end"/>
      </w:r>
    </w:p>
    <w:p>
      <w:pPr>
        <w:pStyle w:val="19"/>
        <w:tabs>
          <w:tab w:val="right" w:leader="dot" w:pos="8787"/>
        </w:tabs>
      </w:pPr>
      <w:r>
        <w:rPr>
          <w:rFonts w:hint="eastAsia"/>
        </w:rPr>
        <w:t>第三节 战略定位</w:t>
      </w:r>
      <w:r>
        <w:tab/>
      </w:r>
      <w:r>
        <w:fldChar w:fldCharType="begin"/>
      </w:r>
      <w:r>
        <w:instrText xml:space="preserve"> PAGEREF _Toc30331 \h </w:instrText>
      </w:r>
      <w:r>
        <w:fldChar w:fldCharType="separate"/>
      </w:r>
      <w:r>
        <w:t>19</w:t>
      </w:r>
      <w:r>
        <w:fldChar w:fldCharType="end"/>
      </w:r>
    </w:p>
    <w:p>
      <w:pPr>
        <w:pStyle w:val="19"/>
        <w:tabs>
          <w:tab w:val="right" w:leader="dot" w:pos="8787"/>
        </w:tabs>
      </w:pPr>
      <w:r>
        <w:rPr>
          <w:rFonts w:hint="eastAsia"/>
        </w:rPr>
        <w:t>第四节 总体目标</w:t>
      </w:r>
      <w:r>
        <w:tab/>
      </w:r>
      <w:r>
        <w:fldChar w:fldCharType="begin"/>
      </w:r>
      <w:r>
        <w:instrText xml:space="preserve"> PAGEREF _Toc6082 \h </w:instrText>
      </w:r>
      <w:r>
        <w:fldChar w:fldCharType="separate"/>
      </w:r>
      <w:r>
        <w:t>20</w:t>
      </w:r>
      <w:r>
        <w:fldChar w:fldCharType="end"/>
      </w:r>
    </w:p>
    <w:p>
      <w:pPr>
        <w:pStyle w:val="19"/>
        <w:tabs>
          <w:tab w:val="right" w:leader="dot" w:pos="8787"/>
        </w:tabs>
      </w:pPr>
      <w:r>
        <w:rPr>
          <w:rFonts w:hint="eastAsia"/>
        </w:rPr>
        <w:t>第五节 远景展望</w:t>
      </w:r>
      <w:r>
        <w:tab/>
      </w:r>
      <w:r>
        <w:fldChar w:fldCharType="begin"/>
      </w:r>
      <w:r>
        <w:instrText xml:space="preserve"> PAGEREF _Toc7036 \h </w:instrText>
      </w:r>
      <w:r>
        <w:fldChar w:fldCharType="separate"/>
      </w:r>
      <w:r>
        <w:t>23</w:t>
      </w:r>
      <w:r>
        <w:fldChar w:fldCharType="end"/>
      </w:r>
    </w:p>
    <w:p>
      <w:pPr>
        <w:pStyle w:val="16"/>
        <w:tabs>
          <w:tab w:val="right" w:leader="dot" w:pos="8787"/>
        </w:tabs>
      </w:pPr>
      <w:r>
        <w:rPr>
          <w:rFonts w:hint="eastAsia"/>
        </w:rPr>
        <w:t>第四章 功能布局</w:t>
      </w:r>
      <w:r>
        <w:tab/>
      </w:r>
      <w:r>
        <w:fldChar w:fldCharType="begin"/>
      </w:r>
      <w:r>
        <w:instrText xml:space="preserve"> PAGEREF _Toc11915 \h </w:instrText>
      </w:r>
      <w:r>
        <w:fldChar w:fldCharType="separate"/>
      </w:r>
      <w:r>
        <w:t>25</w:t>
      </w:r>
      <w:r>
        <w:fldChar w:fldCharType="end"/>
      </w:r>
    </w:p>
    <w:p>
      <w:pPr>
        <w:pStyle w:val="19"/>
        <w:tabs>
          <w:tab w:val="right" w:leader="dot" w:pos="8787"/>
        </w:tabs>
      </w:pPr>
      <w:r>
        <w:rPr>
          <w:rFonts w:hint="eastAsia"/>
        </w:rPr>
        <w:t>第一节 总体布局</w:t>
      </w:r>
      <w:r>
        <w:tab/>
      </w:r>
      <w:r>
        <w:fldChar w:fldCharType="begin"/>
      </w:r>
      <w:r>
        <w:instrText xml:space="preserve"> PAGEREF _Toc23507 \h </w:instrText>
      </w:r>
      <w:r>
        <w:fldChar w:fldCharType="separate"/>
      </w:r>
      <w:r>
        <w:t>25</w:t>
      </w:r>
      <w:r>
        <w:fldChar w:fldCharType="end"/>
      </w:r>
    </w:p>
    <w:p>
      <w:pPr>
        <w:pStyle w:val="19"/>
        <w:tabs>
          <w:tab w:val="right" w:leader="dot" w:pos="8787"/>
        </w:tabs>
      </w:pPr>
      <w:r>
        <w:rPr>
          <w:rFonts w:hint="eastAsia"/>
        </w:rPr>
        <w:t>第二节 空间布局</w:t>
      </w:r>
      <w:r>
        <w:tab/>
      </w:r>
      <w:r>
        <w:fldChar w:fldCharType="begin"/>
      </w:r>
      <w:r>
        <w:instrText xml:space="preserve"> PAGEREF _Toc7439 \h </w:instrText>
      </w:r>
      <w:r>
        <w:fldChar w:fldCharType="separate"/>
      </w:r>
      <w:r>
        <w:t>28</w:t>
      </w:r>
      <w:r>
        <w:fldChar w:fldCharType="end"/>
      </w:r>
    </w:p>
    <w:p>
      <w:pPr>
        <w:pStyle w:val="16"/>
        <w:tabs>
          <w:tab w:val="right" w:leader="dot" w:pos="8787"/>
        </w:tabs>
      </w:pPr>
      <w:r>
        <w:rPr>
          <w:rFonts w:hint="eastAsia"/>
        </w:rPr>
        <w:t>第五章 主要任务</w:t>
      </w:r>
      <w:r>
        <w:tab/>
      </w:r>
      <w:r>
        <w:fldChar w:fldCharType="begin"/>
      </w:r>
      <w:r>
        <w:instrText xml:space="preserve"> PAGEREF _Toc18641 \h </w:instrText>
      </w:r>
      <w:r>
        <w:fldChar w:fldCharType="separate"/>
      </w:r>
      <w:r>
        <w:t>32</w:t>
      </w:r>
      <w:r>
        <w:fldChar w:fldCharType="end"/>
      </w:r>
    </w:p>
    <w:p>
      <w:pPr>
        <w:pStyle w:val="19"/>
        <w:tabs>
          <w:tab w:val="right" w:leader="dot" w:pos="8787"/>
        </w:tabs>
      </w:pPr>
      <w:r>
        <w:rPr>
          <w:rFonts w:hint="eastAsia"/>
        </w:rPr>
        <w:t>第一节 围绕五城同创，打造文明卫生县城</w:t>
      </w:r>
      <w:r>
        <w:tab/>
      </w:r>
      <w:r>
        <w:fldChar w:fldCharType="begin"/>
      </w:r>
      <w:r>
        <w:instrText xml:space="preserve"> PAGEREF _Toc22295 \h </w:instrText>
      </w:r>
      <w:r>
        <w:fldChar w:fldCharType="separate"/>
      </w:r>
      <w:r>
        <w:t>32</w:t>
      </w:r>
      <w:r>
        <w:fldChar w:fldCharType="end"/>
      </w:r>
    </w:p>
    <w:p>
      <w:pPr>
        <w:pStyle w:val="19"/>
        <w:tabs>
          <w:tab w:val="right" w:leader="dot" w:pos="8787"/>
        </w:tabs>
      </w:pPr>
      <w:r>
        <w:rPr>
          <w:rFonts w:hint="eastAsia"/>
        </w:rPr>
        <w:t>第二节 完善路网结构，打造人车畅行县城</w:t>
      </w:r>
      <w:r>
        <w:tab/>
      </w:r>
      <w:r>
        <w:fldChar w:fldCharType="begin"/>
      </w:r>
      <w:r>
        <w:instrText xml:space="preserve"> PAGEREF _Toc6102 \h </w:instrText>
      </w:r>
      <w:r>
        <w:fldChar w:fldCharType="separate"/>
      </w:r>
      <w:r>
        <w:t>35</w:t>
      </w:r>
      <w:r>
        <w:fldChar w:fldCharType="end"/>
      </w:r>
    </w:p>
    <w:p>
      <w:pPr>
        <w:pStyle w:val="19"/>
        <w:tabs>
          <w:tab w:val="right" w:leader="dot" w:pos="8787"/>
        </w:tabs>
      </w:pPr>
      <w:r>
        <w:rPr>
          <w:rFonts w:hint="eastAsia"/>
        </w:rPr>
        <w:t>第三节 配齐市政设施，促进基础提档升级</w:t>
      </w:r>
      <w:r>
        <w:tab/>
      </w:r>
      <w:r>
        <w:fldChar w:fldCharType="begin"/>
      </w:r>
      <w:r>
        <w:instrText xml:space="preserve"> PAGEREF _Toc29270 \h </w:instrText>
      </w:r>
      <w:r>
        <w:fldChar w:fldCharType="separate"/>
      </w:r>
      <w:r>
        <w:t>37</w:t>
      </w:r>
      <w:r>
        <w:fldChar w:fldCharType="end"/>
      </w:r>
    </w:p>
    <w:p>
      <w:pPr>
        <w:pStyle w:val="19"/>
        <w:tabs>
          <w:tab w:val="right" w:leader="dot" w:pos="8787"/>
        </w:tabs>
      </w:pPr>
      <w:r>
        <w:rPr>
          <w:rFonts w:hint="eastAsia"/>
        </w:rPr>
        <w:t>第四节 完善公共服务，提升县城承载能力</w:t>
      </w:r>
      <w:r>
        <w:tab/>
      </w:r>
      <w:r>
        <w:fldChar w:fldCharType="begin"/>
      </w:r>
      <w:r>
        <w:instrText xml:space="preserve"> PAGEREF _Toc11855 \h </w:instrText>
      </w:r>
      <w:r>
        <w:fldChar w:fldCharType="separate"/>
      </w:r>
      <w:r>
        <w:t>40</w:t>
      </w:r>
      <w:r>
        <w:fldChar w:fldCharType="end"/>
      </w:r>
    </w:p>
    <w:p>
      <w:pPr>
        <w:pStyle w:val="19"/>
        <w:tabs>
          <w:tab w:val="right" w:leader="dot" w:pos="8787"/>
        </w:tabs>
      </w:pPr>
      <w:r>
        <w:rPr>
          <w:rFonts w:hint="eastAsia"/>
        </w:rPr>
        <w:t>第五节 全面修复生态，推进建设“海绵城市”</w:t>
      </w:r>
      <w:r>
        <w:tab/>
      </w:r>
      <w:r>
        <w:fldChar w:fldCharType="begin"/>
      </w:r>
      <w:r>
        <w:instrText xml:space="preserve"> PAGEREF _Toc29414 \h </w:instrText>
      </w:r>
      <w:r>
        <w:fldChar w:fldCharType="separate"/>
      </w:r>
      <w:r>
        <w:t>41</w:t>
      </w:r>
      <w:r>
        <w:fldChar w:fldCharType="end"/>
      </w:r>
    </w:p>
    <w:p>
      <w:pPr>
        <w:pStyle w:val="19"/>
        <w:tabs>
          <w:tab w:val="right" w:leader="dot" w:pos="8787"/>
        </w:tabs>
      </w:pPr>
      <w:r>
        <w:rPr>
          <w:rFonts w:hint="eastAsia"/>
        </w:rPr>
        <w:t>第六节 落实绿建目标，建设省级森林城市</w:t>
      </w:r>
      <w:r>
        <w:tab/>
      </w:r>
      <w:r>
        <w:fldChar w:fldCharType="begin"/>
      </w:r>
      <w:r>
        <w:instrText xml:space="preserve"> PAGEREF _Toc27341 \h </w:instrText>
      </w:r>
      <w:r>
        <w:fldChar w:fldCharType="separate"/>
      </w:r>
      <w:r>
        <w:t>43</w:t>
      </w:r>
      <w:r>
        <w:fldChar w:fldCharType="end"/>
      </w:r>
    </w:p>
    <w:p>
      <w:pPr>
        <w:pStyle w:val="19"/>
        <w:tabs>
          <w:tab w:val="right" w:leader="dot" w:pos="8787"/>
        </w:tabs>
      </w:pPr>
      <w:r>
        <w:rPr>
          <w:rFonts w:hint="eastAsia"/>
        </w:rPr>
        <w:t>第七节 落实住房保障，建设安居</w:t>
      </w:r>
      <w:r>
        <w:rPr>
          <w:rFonts w:hint="eastAsia"/>
          <w:lang w:eastAsia="zh-CN"/>
        </w:rPr>
        <w:t>保障</w:t>
      </w:r>
      <w:r>
        <w:rPr>
          <w:rFonts w:hint="eastAsia"/>
        </w:rPr>
        <w:t>工程</w:t>
      </w:r>
      <w:r>
        <w:tab/>
      </w:r>
      <w:r>
        <w:fldChar w:fldCharType="begin"/>
      </w:r>
      <w:r>
        <w:instrText xml:space="preserve"> PAGEREF _Toc25738 \h </w:instrText>
      </w:r>
      <w:r>
        <w:fldChar w:fldCharType="separate"/>
      </w:r>
      <w:r>
        <w:t>46</w:t>
      </w:r>
      <w:r>
        <w:fldChar w:fldCharType="end"/>
      </w:r>
    </w:p>
    <w:p>
      <w:pPr>
        <w:pStyle w:val="19"/>
        <w:tabs>
          <w:tab w:val="right" w:leader="dot" w:pos="8787"/>
        </w:tabs>
      </w:pPr>
      <w:r>
        <w:rPr>
          <w:rFonts w:hint="eastAsia"/>
        </w:rPr>
        <w:t>第八节 加强房地产监管，建设高端商住小区</w:t>
      </w:r>
      <w:r>
        <w:tab/>
      </w:r>
      <w:r>
        <w:fldChar w:fldCharType="begin"/>
      </w:r>
      <w:r>
        <w:instrText xml:space="preserve"> PAGEREF _Toc31658 \h </w:instrText>
      </w:r>
      <w:r>
        <w:fldChar w:fldCharType="separate"/>
      </w:r>
      <w:r>
        <w:t>47</w:t>
      </w:r>
      <w:r>
        <w:fldChar w:fldCharType="end"/>
      </w:r>
    </w:p>
    <w:p>
      <w:pPr>
        <w:pStyle w:val="19"/>
        <w:tabs>
          <w:tab w:val="right" w:leader="dot" w:pos="8787"/>
        </w:tabs>
      </w:pPr>
      <w:r>
        <w:rPr>
          <w:rFonts w:hint="eastAsia"/>
        </w:rPr>
        <w:t>第九节 推进数字管理，建设智慧智能城市</w:t>
      </w:r>
      <w:r>
        <w:tab/>
      </w:r>
      <w:r>
        <w:fldChar w:fldCharType="begin"/>
      </w:r>
      <w:r>
        <w:instrText xml:space="preserve"> PAGEREF _Toc28463 \h </w:instrText>
      </w:r>
      <w:r>
        <w:fldChar w:fldCharType="separate"/>
      </w:r>
      <w:r>
        <w:t>48</w:t>
      </w:r>
      <w:r>
        <w:fldChar w:fldCharType="end"/>
      </w:r>
    </w:p>
    <w:p>
      <w:pPr>
        <w:pStyle w:val="19"/>
        <w:tabs>
          <w:tab w:val="right" w:leader="dot" w:pos="8787"/>
        </w:tabs>
      </w:pPr>
      <w:r>
        <w:rPr>
          <w:rFonts w:hint="eastAsia"/>
        </w:rPr>
        <w:t>第十节 加强建筑行业监管，规范建设市场秩序</w:t>
      </w:r>
      <w:r>
        <w:tab/>
      </w:r>
      <w:r>
        <w:fldChar w:fldCharType="begin"/>
      </w:r>
      <w:r>
        <w:instrText xml:space="preserve"> PAGEREF _Toc22561 \h </w:instrText>
      </w:r>
      <w:r>
        <w:fldChar w:fldCharType="separate"/>
      </w:r>
      <w:r>
        <w:t>50</w:t>
      </w:r>
      <w:r>
        <w:fldChar w:fldCharType="end"/>
      </w:r>
    </w:p>
    <w:p>
      <w:pPr>
        <w:pStyle w:val="19"/>
        <w:tabs>
          <w:tab w:val="right" w:leader="dot" w:pos="8787"/>
        </w:tabs>
      </w:pPr>
      <w:r>
        <w:rPr>
          <w:rFonts w:hint="eastAsia"/>
        </w:rPr>
        <w:t>第十一节 加强物业管理，建设和谐平安社区</w:t>
      </w:r>
      <w:r>
        <w:tab/>
      </w:r>
      <w:r>
        <w:fldChar w:fldCharType="begin"/>
      </w:r>
      <w:r>
        <w:instrText xml:space="preserve"> PAGEREF _Toc18495 \h </w:instrText>
      </w:r>
      <w:r>
        <w:fldChar w:fldCharType="separate"/>
      </w:r>
      <w:r>
        <w:t>51</w:t>
      </w:r>
      <w:r>
        <w:fldChar w:fldCharType="end"/>
      </w:r>
    </w:p>
    <w:p>
      <w:pPr>
        <w:pStyle w:val="19"/>
        <w:tabs>
          <w:tab w:val="right" w:leader="dot" w:pos="8787"/>
        </w:tabs>
      </w:pPr>
      <w:r>
        <w:rPr>
          <w:rFonts w:hint="eastAsia"/>
        </w:rPr>
        <w:t>第十二节 推进新型应用，建设创新节能城市</w:t>
      </w:r>
      <w:r>
        <w:tab/>
      </w:r>
      <w:r>
        <w:fldChar w:fldCharType="begin"/>
      </w:r>
      <w:r>
        <w:instrText xml:space="preserve"> PAGEREF _Toc22200 \h </w:instrText>
      </w:r>
      <w:r>
        <w:fldChar w:fldCharType="separate"/>
      </w:r>
      <w:r>
        <w:t>52</w:t>
      </w:r>
      <w:r>
        <w:fldChar w:fldCharType="end"/>
      </w:r>
    </w:p>
    <w:p>
      <w:pPr>
        <w:pStyle w:val="19"/>
        <w:tabs>
          <w:tab w:val="right" w:leader="dot" w:pos="8787"/>
        </w:tabs>
      </w:pPr>
      <w:r>
        <w:rPr>
          <w:rFonts w:hint="eastAsia"/>
        </w:rPr>
        <w:t>第十三节 加强人防设施建设， 提高城市防护保障能力</w:t>
      </w:r>
      <w:r>
        <w:tab/>
      </w:r>
      <w:r>
        <w:fldChar w:fldCharType="begin"/>
      </w:r>
      <w:r>
        <w:instrText xml:space="preserve"> PAGEREF _Toc12227 \h </w:instrText>
      </w:r>
      <w:r>
        <w:fldChar w:fldCharType="separate"/>
      </w:r>
      <w:r>
        <w:t>53</w:t>
      </w:r>
      <w:r>
        <w:fldChar w:fldCharType="end"/>
      </w:r>
    </w:p>
    <w:p>
      <w:pPr>
        <w:pStyle w:val="19"/>
        <w:tabs>
          <w:tab w:val="right" w:leader="dot" w:pos="8787"/>
        </w:tabs>
      </w:pPr>
      <w:r>
        <w:rPr>
          <w:rFonts w:hint="eastAsia"/>
        </w:rPr>
        <w:t>第十四节 加强消防设施建设，提升消防安全保障</w:t>
      </w:r>
      <w:r>
        <w:tab/>
      </w:r>
      <w:r>
        <w:fldChar w:fldCharType="begin"/>
      </w:r>
      <w:r>
        <w:instrText xml:space="preserve"> PAGEREF _Toc29808 \h </w:instrText>
      </w:r>
      <w:r>
        <w:fldChar w:fldCharType="separate"/>
      </w:r>
      <w:r>
        <w:t>54</w:t>
      </w:r>
      <w:r>
        <w:fldChar w:fldCharType="end"/>
      </w:r>
    </w:p>
    <w:p>
      <w:pPr>
        <w:pStyle w:val="19"/>
        <w:tabs>
          <w:tab w:val="right" w:leader="dot" w:pos="8787"/>
        </w:tabs>
      </w:pPr>
      <w:r>
        <w:rPr>
          <w:rFonts w:hint="eastAsia"/>
        </w:rPr>
        <w:t>第十五节 统筹城乡</w:t>
      </w:r>
      <w:r>
        <w:rPr>
          <w:rFonts w:hint="eastAsia"/>
          <w:lang w:eastAsia="zh-CN"/>
        </w:rPr>
        <w:t>一体</w:t>
      </w:r>
      <w:r>
        <w:rPr>
          <w:rFonts w:hint="eastAsia"/>
        </w:rPr>
        <w:t>发展，推进美丽乡村建设</w:t>
      </w:r>
      <w:r>
        <w:tab/>
      </w:r>
      <w:r>
        <w:fldChar w:fldCharType="begin"/>
      </w:r>
      <w:r>
        <w:instrText xml:space="preserve"> PAGEREF _Toc24428 \h </w:instrText>
      </w:r>
      <w:r>
        <w:fldChar w:fldCharType="separate"/>
      </w:r>
      <w:r>
        <w:t>56</w:t>
      </w:r>
      <w:r>
        <w:fldChar w:fldCharType="end"/>
      </w:r>
    </w:p>
    <w:p>
      <w:pPr>
        <w:pStyle w:val="19"/>
        <w:tabs>
          <w:tab w:val="right" w:leader="dot" w:pos="8787"/>
        </w:tabs>
      </w:pPr>
      <w:r>
        <w:rPr>
          <w:rFonts w:hint="eastAsia"/>
        </w:rPr>
        <w:t>第十六节 加快景区</w:t>
      </w:r>
      <w:r>
        <w:rPr>
          <w:rFonts w:hint="eastAsia"/>
          <w:lang w:eastAsia="zh-CN"/>
        </w:rPr>
        <w:t>景点</w:t>
      </w:r>
      <w:r>
        <w:rPr>
          <w:rFonts w:hint="eastAsia"/>
        </w:rPr>
        <w:t>建设，推进全域旅游示范</w:t>
      </w:r>
      <w:r>
        <w:tab/>
      </w:r>
      <w:r>
        <w:fldChar w:fldCharType="begin"/>
      </w:r>
      <w:r>
        <w:instrText xml:space="preserve"> PAGEREF _Toc14882 \h </w:instrText>
      </w:r>
      <w:r>
        <w:fldChar w:fldCharType="separate"/>
      </w:r>
      <w:r>
        <w:t>64</w:t>
      </w:r>
      <w:r>
        <w:fldChar w:fldCharType="end"/>
      </w:r>
    </w:p>
    <w:p>
      <w:pPr>
        <w:pStyle w:val="16"/>
        <w:tabs>
          <w:tab w:val="right" w:leader="dot" w:pos="8787"/>
        </w:tabs>
      </w:pPr>
      <w:r>
        <w:rPr>
          <w:rFonts w:hint="eastAsia"/>
        </w:rPr>
        <w:t>第</w:t>
      </w:r>
      <w:r>
        <w:rPr>
          <w:rFonts w:hint="eastAsia"/>
          <w:lang w:eastAsia="zh-CN"/>
        </w:rPr>
        <w:t>六</w:t>
      </w:r>
      <w:r>
        <w:rPr>
          <w:rFonts w:hint="eastAsia"/>
        </w:rPr>
        <w:t>章 保障措施</w:t>
      </w:r>
      <w:r>
        <w:tab/>
      </w:r>
      <w:r>
        <w:fldChar w:fldCharType="begin"/>
      </w:r>
      <w:r>
        <w:instrText xml:space="preserve"> PAGEREF _Toc17137 \h </w:instrText>
      </w:r>
      <w:r>
        <w:fldChar w:fldCharType="separate"/>
      </w:r>
      <w:r>
        <w:t>66</w:t>
      </w:r>
      <w:r>
        <w:fldChar w:fldCharType="end"/>
      </w:r>
    </w:p>
    <w:p>
      <w:pPr>
        <w:pStyle w:val="19"/>
        <w:tabs>
          <w:tab w:val="right" w:leader="dot" w:pos="8787"/>
        </w:tabs>
      </w:pPr>
      <w:r>
        <w:t>7</w:t>
      </w:r>
      <w:r>
        <w:rPr>
          <w:rFonts w:hint="eastAsia"/>
        </w:rPr>
        <w:t>.1 解放思想强化领导，全面推进规划实施</w:t>
      </w:r>
      <w:r>
        <w:tab/>
      </w:r>
      <w:r>
        <w:fldChar w:fldCharType="begin"/>
      </w:r>
      <w:r>
        <w:instrText xml:space="preserve"> PAGEREF _Toc23008 \h </w:instrText>
      </w:r>
      <w:r>
        <w:fldChar w:fldCharType="separate"/>
      </w:r>
      <w:r>
        <w:t>66</w:t>
      </w:r>
      <w:r>
        <w:fldChar w:fldCharType="end"/>
      </w:r>
    </w:p>
    <w:p>
      <w:pPr>
        <w:pStyle w:val="19"/>
        <w:tabs>
          <w:tab w:val="right" w:leader="dot" w:pos="8787"/>
        </w:tabs>
      </w:pPr>
      <w:r>
        <w:t xml:space="preserve">7.2 </w:t>
      </w:r>
      <w:r>
        <w:rPr>
          <w:rFonts w:hint="eastAsia"/>
        </w:rPr>
        <w:t>盘活资源集中要素，提供规划实施保障</w:t>
      </w:r>
      <w:r>
        <w:tab/>
      </w:r>
      <w:r>
        <w:fldChar w:fldCharType="begin"/>
      </w:r>
      <w:r>
        <w:instrText xml:space="preserve"> PAGEREF _Toc19567 \h </w:instrText>
      </w:r>
      <w:r>
        <w:fldChar w:fldCharType="separate"/>
      </w:r>
      <w:r>
        <w:t>66</w:t>
      </w:r>
      <w:r>
        <w:fldChar w:fldCharType="end"/>
      </w:r>
    </w:p>
    <w:p>
      <w:pPr>
        <w:pStyle w:val="19"/>
        <w:tabs>
          <w:tab w:val="right" w:leader="dot" w:pos="8787"/>
        </w:tabs>
      </w:pPr>
      <w:r>
        <w:t>7</w:t>
      </w:r>
      <w:r>
        <w:rPr>
          <w:rFonts w:hint="eastAsia"/>
        </w:rPr>
        <w:t>.</w:t>
      </w:r>
      <w:r>
        <w:t>3</w:t>
      </w:r>
      <w:r>
        <w:rPr>
          <w:rFonts w:hint="eastAsia"/>
        </w:rPr>
        <w:t>加强规划指导引领，形成规划实施合力</w:t>
      </w:r>
      <w:r>
        <w:tab/>
      </w:r>
      <w:r>
        <w:fldChar w:fldCharType="begin"/>
      </w:r>
      <w:r>
        <w:instrText xml:space="preserve"> PAGEREF _Toc11359 \h </w:instrText>
      </w:r>
      <w:r>
        <w:fldChar w:fldCharType="separate"/>
      </w:r>
      <w:r>
        <w:t>67</w:t>
      </w:r>
      <w:r>
        <w:fldChar w:fldCharType="end"/>
      </w:r>
    </w:p>
    <w:p>
      <w:pPr>
        <w:pStyle w:val="19"/>
        <w:tabs>
          <w:tab w:val="right" w:leader="dot" w:pos="8787"/>
        </w:tabs>
      </w:pPr>
      <w:r>
        <w:t>7.4</w:t>
      </w:r>
      <w:r>
        <w:rPr>
          <w:rFonts w:hint="eastAsia"/>
        </w:rPr>
        <w:t>维护规划法律刚性，强化规划实施保障</w:t>
      </w:r>
      <w:r>
        <w:tab/>
      </w:r>
      <w:r>
        <w:fldChar w:fldCharType="begin"/>
      </w:r>
      <w:r>
        <w:instrText xml:space="preserve"> PAGEREF _Toc3239 \h </w:instrText>
      </w:r>
      <w:r>
        <w:fldChar w:fldCharType="separate"/>
      </w:r>
      <w:r>
        <w:t>68</w:t>
      </w:r>
      <w:r>
        <w:fldChar w:fldCharType="end"/>
      </w:r>
    </w:p>
    <w:p>
      <w:pPr>
        <w:pStyle w:val="19"/>
        <w:tabs>
          <w:tab w:val="right" w:leader="dot" w:pos="8787"/>
        </w:tabs>
      </w:pPr>
      <w:r>
        <w:t>7</w:t>
      </w:r>
      <w:r>
        <w:rPr>
          <w:rFonts w:hint="eastAsia"/>
        </w:rPr>
        <w:t>.</w:t>
      </w:r>
      <w:r>
        <w:t>5</w:t>
      </w:r>
      <w:r>
        <w:rPr>
          <w:rFonts w:hint="eastAsia"/>
        </w:rPr>
        <w:t xml:space="preserve"> 推进规划应时完善，保障规划科学可行</w:t>
      </w:r>
      <w:r>
        <w:tab/>
      </w:r>
      <w:r>
        <w:fldChar w:fldCharType="begin"/>
      </w:r>
      <w:r>
        <w:instrText xml:space="preserve"> PAGEREF _Toc14003 \h </w:instrText>
      </w:r>
      <w:r>
        <w:fldChar w:fldCharType="separate"/>
      </w:r>
      <w:r>
        <w:t>68</w:t>
      </w:r>
      <w:r>
        <w:fldChar w:fldCharType="end"/>
      </w:r>
    </w:p>
    <w:p>
      <w:pPr>
        <w:pStyle w:val="19"/>
        <w:tabs>
          <w:tab w:val="right" w:leader="dot" w:pos="8787"/>
        </w:tabs>
      </w:pPr>
      <w:r>
        <w:t>7</w:t>
      </w:r>
      <w:r>
        <w:rPr>
          <w:rFonts w:hint="eastAsia"/>
        </w:rPr>
        <w:t>.</w:t>
      </w:r>
      <w:r>
        <w:t>6</w:t>
      </w:r>
      <w:r>
        <w:rPr>
          <w:rFonts w:hint="eastAsia"/>
        </w:rPr>
        <w:t>加强综合管控治理，树立城镇文明新风</w:t>
      </w:r>
      <w:r>
        <w:tab/>
      </w:r>
      <w:r>
        <w:fldChar w:fldCharType="begin"/>
      </w:r>
      <w:r>
        <w:instrText xml:space="preserve"> PAGEREF _Toc13905 \h </w:instrText>
      </w:r>
      <w:r>
        <w:fldChar w:fldCharType="separate"/>
      </w:r>
      <w:r>
        <w:t>69</w:t>
      </w:r>
      <w:r>
        <w:fldChar w:fldCharType="end"/>
      </w:r>
    </w:p>
    <w:p>
      <w:pPr>
        <w:pStyle w:val="16"/>
        <w:tabs>
          <w:tab w:val="right" w:leader="dot" w:pos="8787"/>
        </w:tabs>
      </w:pPr>
      <w:r>
        <w:rPr>
          <w:rFonts w:hint="eastAsia"/>
        </w:rPr>
        <w:t>第</w:t>
      </w:r>
      <w:r>
        <w:rPr>
          <w:rFonts w:hint="eastAsia"/>
          <w:lang w:eastAsia="zh-CN"/>
        </w:rPr>
        <w:t>七</w:t>
      </w:r>
      <w:r>
        <w:rPr>
          <w:rFonts w:hint="eastAsia"/>
        </w:rPr>
        <w:t>章 重点项目库</w:t>
      </w:r>
      <w:r>
        <w:tab/>
      </w:r>
      <w:r>
        <w:fldChar w:fldCharType="begin"/>
      </w:r>
      <w:r>
        <w:instrText xml:space="preserve"> PAGEREF _Toc25315 \h </w:instrText>
      </w:r>
      <w:r>
        <w:fldChar w:fldCharType="separate"/>
      </w:r>
      <w:r>
        <w:t>70</w:t>
      </w:r>
      <w:r>
        <w:fldChar w:fldCharType="end"/>
      </w:r>
    </w:p>
    <w:p>
      <w:pPr>
        <w:ind w:firstLine="560"/>
      </w:pPr>
      <w:r>
        <w:fldChar w:fldCharType="end"/>
      </w:r>
    </w:p>
    <w:p>
      <w:pPr>
        <w:ind w:firstLine="560"/>
      </w:pPr>
    </w:p>
    <w:p>
      <w:pPr>
        <w:ind w:firstLine="560"/>
      </w:pPr>
    </w:p>
    <w:p>
      <w:pPr>
        <w:pStyle w:val="4"/>
        <w:ind w:firstLine="3534" w:firstLineChars="800"/>
        <w:jc w:val="both"/>
      </w:pPr>
      <w:bookmarkStart w:id="2" w:name="_Toc29142"/>
      <w:r>
        <w:rPr>
          <w:rFonts w:hint="eastAsia"/>
        </w:rPr>
        <w:t>前 言</w:t>
      </w:r>
      <w:bookmarkEnd w:id="2"/>
    </w:p>
    <w:p>
      <w:pPr>
        <w:ind w:firstLine="560"/>
        <w:rPr>
          <w:b/>
          <w:bCs/>
        </w:rPr>
      </w:pPr>
      <w:r>
        <w:rPr>
          <w:rFonts w:hint="eastAsia"/>
        </w:rPr>
        <w:t>城镇</w:t>
      </w:r>
      <w:r>
        <w:t>是一定区域内</w:t>
      </w:r>
      <w:r>
        <w:rPr>
          <w:rFonts w:hint="eastAsia"/>
        </w:rPr>
        <w:t>的</w:t>
      </w:r>
      <w:r>
        <w:t>政治、经济、文化和生活服务中心。</w:t>
      </w:r>
      <w:r>
        <w:rPr>
          <w:rFonts w:hint="eastAsia"/>
        </w:rPr>
        <w:t>城镇是经济社会发展的要素聚集平台、信息交流中心、科技应用高地、区域经济发展引擎。城镇既是人口据点，又是经济据点。城镇</w:t>
      </w:r>
      <w:r>
        <w:t>具有行政、经济、文化、交通等多方面的</w:t>
      </w:r>
      <w:r>
        <w:rPr>
          <w:rFonts w:hint="eastAsia"/>
        </w:rPr>
        <w:t>综合</w:t>
      </w:r>
      <w:r>
        <w:t>功能。</w:t>
      </w:r>
      <w:r>
        <w:rPr>
          <w:rFonts w:hint="eastAsia"/>
        </w:rPr>
        <w:t>城镇在</w:t>
      </w:r>
      <w:r>
        <w:t>经济</w:t>
      </w:r>
      <w:r>
        <w:rPr>
          <w:rFonts w:hint="eastAsia"/>
        </w:rPr>
        <w:t>驱动</w:t>
      </w:r>
      <w:r>
        <w:t>功能中细分为生产功能、流通功能和旅游功能</w:t>
      </w:r>
      <w:r>
        <w:rPr>
          <w:rFonts w:hint="eastAsia"/>
        </w:rPr>
        <w:t xml:space="preserve">。现代社会大部分政治活动、经济活动、社会活动、文化活动都是以城镇为载体的，城镇的建设和发展，是区域经济发展的主战场，城镇发展规划是一个时间段城镇区域空间经济发展的重要专项规划。 </w:t>
      </w:r>
    </w:p>
    <w:p>
      <w:pPr>
        <w:ind w:firstLine="560"/>
        <w:rPr>
          <w:b/>
          <w:bCs/>
        </w:rPr>
      </w:pPr>
      <w:r>
        <w:rPr>
          <w:rFonts w:hint="eastAsia"/>
        </w:rPr>
        <w:t>城镇建设以规划为依据，通过工程建设对城市人居环境进行改造，对城镇系统内各项基础设施进行建设，达到宜居宜业宜游目的。城镇规划的内容包括城镇系统内各个公共设施的实物形态目标，为建设和管理城市创造良好条件的基础性、阶段性条件，是过程性和周期性比较明显的一种特殊经济工作。隆回县“十四五”城镇建设发展规划，是“十四五”期间的阶段性中期规划，是隆回县“十四五”期间城镇建设和发展的综合性规划，是“十四五”期间隆回县城镇建设和产业发展的指导依据。</w:t>
      </w:r>
    </w:p>
    <w:p>
      <w:pPr>
        <w:ind w:firstLine="560"/>
      </w:pPr>
      <w:r>
        <w:rPr>
          <w:rFonts w:hint="eastAsia"/>
        </w:rPr>
        <w:t>隆回县城桃洪镇是座历史古城，发展基础薄弱，到解放初时，只有10条破旧小街道，总长2217米；6条街巷，长230米；门店1340个，总面积10.2万平米。街道为青石板和鹅卵石路面，宽2-8米不等。单沟型下水道设在街道中心，青石盖板残缺不全。20世纪50年代，县城街道曾进行过一些改造，但是基础设施未动。1978年至1980年，桃洪镇老街进行了一次较大改造，进行了一次规划修编，街道面目有所改观。20世纪80年代以前隆回城镇建设没有全面规划，1990年国家出台《城市规划法》之后，城镇规划步伐加快。1993年，县政府委托湖南省城建高等专科学校对县城总体规划进行修编，这次规划，近期（2000年）人口7万人，建设用地6.37平方公里，远期（2015年）人口12万人，建设用地12.24平方公里，远景（2025年）人口15万人，建设用地15平方公里。2001年，县政府有委托湖南仟府城市规划设计院负责修编，规划到2005年人口12万人，建设用地12.24平方公里；到2010年人口15万人，建设用地20平方公里；到2015年人口20万人，建设用地20平方公里；至2030年人口30万人，规划控制区面积85平方公里。</w:t>
      </w:r>
    </w:p>
    <w:p>
      <w:pPr>
        <w:ind w:firstLine="560"/>
      </w:pPr>
      <w:r>
        <w:rPr>
          <w:rFonts w:hint="eastAsia"/>
        </w:rPr>
        <w:t>随着邵阳—怀化高速公路于2003年9月动工兴建，</w:t>
      </w:r>
      <w:r>
        <w:t>2007年11月通车运营</w:t>
      </w:r>
      <w:r>
        <w:rPr>
          <w:rFonts w:hint="eastAsia"/>
        </w:rPr>
        <w:t>；</w:t>
      </w:r>
      <w:r>
        <w:t>怀化至邵阳至衡阳铁路2010年10月，</w:t>
      </w:r>
      <w:r>
        <w:rPr>
          <w:rFonts w:hint="eastAsia"/>
        </w:rPr>
        <w:t>获国家发改委</w:t>
      </w:r>
      <w:r>
        <w:t>批复</w:t>
      </w:r>
      <w:r>
        <w:rPr>
          <w:rFonts w:hint="eastAsia"/>
        </w:rPr>
        <w:t>，2014年1月开工建设，2018年12月全线通车营运，区位条件明显变化。2012年，县政府再次启动县城总规修编，近期（2015年）隆回县城城镇人口为23万人，人均建设用地指标控制在100平方米以内，建设用地规模为23平方公里。远期（2020年）隆回县城城镇人口为30万人，人均建设用地指标控制在100平方米以内，建设用地规模为30平方公里。</w:t>
      </w:r>
    </w:p>
    <w:p>
      <w:pPr>
        <w:ind w:firstLine="560"/>
      </w:pPr>
      <w:r>
        <w:rPr>
          <w:rFonts w:hint="eastAsia"/>
        </w:rPr>
        <w:t>城镇建设规划编制具有很紧迫的现实需求和重要意义。城镇是现代经济社会发展的主要空间和舞台，如何为经济发展和社会生活提供一个要素齐全、机制灵活、管理规范、运行高效、环境舒适的合理城镇空间，是政府实施宏观管理、基础引导、全面监督的主要抓手和治理途径，如何对城镇建设高起点规划、预见性定位、全方位管控，提升资源科学利用水平，提升城市建设品质，满足市民对美好生活的追求，是城镇规划的主要任务。</w:t>
      </w:r>
    </w:p>
    <w:p>
      <w:pPr>
        <w:ind w:firstLine="560"/>
      </w:pPr>
      <w:r>
        <w:rPr>
          <w:rFonts w:hint="eastAsia"/>
        </w:rPr>
        <w:t>城镇规划不是单一的课题，也不只是一个部门的专项规划，它是一个综合课题，是一部区域综合规划，需要综合社会力量、集中民智、综合多部门工作，全面协作编规划，合力协调抓实施，才能让城镇规划发挥作用并实施落地。</w:t>
      </w:r>
    </w:p>
    <w:p>
      <w:pPr>
        <w:ind w:firstLine="560"/>
      </w:pPr>
      <w:r>
        <w:rPr>
          <w:rFonts w:hint="eastAsia"/>
        </w:rPr>
        <w:t>湖南邦盛工程咨询有限公司受隆回县住房和城乡建设局的委托，编制《隆回县“十四五”城镇建设发展规划（2</w:t>
      </w:r>
      <w:r>
        <w:t>021-2025</w:t>
      </w:r>
      <w:r>
        <w:rPr>
          <w:rFonts w:hint="eastAsia"/>
        </w:rPr>
        <w:t>）》，规划力求</w:t>
      </w:r>
      <w:r>
        <w:t>具有战略性、权威性、纲领性</w:t>
      </w:r>
      <w:r>
        <w:rPr>
          <w:rFonts w:hint="eastAsia"/>
        </w:rPr>
        <w:t>、可行性</w:t>
      </w:r>
      <w:r>
        <w:t>，</w:t>
      </w:r>
      <w:r>
        <w:rPr>
          <w:rFonts w:hint="eastAsia"/>
        </w:rPr>
        <w:t>注重客观实际。调研编制过程中，得到了隆回县住房和城乡建设局和相关单位的鼎力支持和认真评审，以求规划符合国家政策、符合县域发展实际，具备指导性、操作性，为隆回县今后五年的城镇建设谋篇布局。由于时间比较仓促，建设条件不断变化，调研深度不够，技术水平差距，目光境界局限，协作参与不全，规划缺陷较多，谨请各界在规划实施过程中不断完善。</w:t>
      </w:r>
    </w:p>
    <w:p>
      <w:pPr>
        <w:ind w:firstLine="420"/>
        <w:rPr>
          <w:rFonts w:ascii="Calibri" w:hAnsi="Calibri" w:cs="Calibri"/>
          <w:sz w:val="21"/>
          <w:szCs w:val="21"/>
        </w:rPr>
      </w:pPr>
    </w:p>
    <w:p>
      <w:pPr>
        <w:ind w:firstLine="560"/>
      </w:pPr>
    </w:p>
    <w:p>
      <w:pPr>
        <w:pStyle w:val="2"/>
        <w:ind w:firstLine="480"/>
      </w:pPr>
    </w:p>
    <w:p>
      <w:pPr>
        <w:pStyle w:val="3"/>
        <w:ind w:firstLine="560"/>
      </w:pPr>
    </w:p>
    <w:p>
      <w:pPr>
        <w:pStyle w:val="3"/>
        <w:ind w:firstLine="560"/>
      </w:pPr>
    </w:p>
    <w:p>
      <w:pPr>
        <w:pStyle w:val="3"/>
        <w:ind w:firstLine="560"/>
      </w:pPr>
    </w:p>
    <w:p>
      <w:pPr>
        <w:pStyle w:val="3"/>
        <w:ind w:firstLine="560"/>
      </w:pPr>
    </w:p>
    <w:p>
      <w:pPr>
        <w:pStyle w:val="3"/>
        <w:ind w:firstLine="560"/>
      </w:pPr>
    </w:p>
    <w:p>
      <w:pPr>
        <w:pStyle w:val="3"/>
        <w:ind w:firstLine="560"/>
      </w:pPr>
    </w:p>
    <w:p>
      <w:pPr>
        <w:pStyle w:val="3"/>
        <w:ind w:firstLine="560"/>
      </w:pPr>
    </w:p>
    <w:p>
      <w:pPr>
        <w:pStyle w:val="3"/>
        <w:ind w:firstLine="560"/>
      </w:pPr>
    </w:p>
    <w:p>
      <w:pPr>
        <w:pStyle w:val="3"/>
        <w:ind w:firstLine="560"/>
      </w:pPr>
    </w:p>
    <w:p>
      <w:pPr>
        <w:pStyle w:val="3"/>
        <w:ind w:firstLine="560"/>
      </w:pPr>
    </w:p>
    <w:p>
      <w:pPr>
        <w:pStyle w:val="3"/>
        <w:ind w:firstLine="560"/>
      </w:pPr>
    </w:p>
    <w:p>
      <w:pPr>
        <w:pStyle w:val="4"/>
        <w:ind w:firstLine="1767" w:firstLineChars="400"/>
        <w:jc w:val="both"/>
      </w:pPr>
      <w:bookmarkStart w:id="3" w:name="_Toc8804"/>
      <w:r>
        <w:rPr>
          <w:rFonts w:hint="eastAsia"/>
        </w:rPr>
        <w:t>第一章 规划背景</w:t>
      </w:r>
      <w:bookmarkEnd w:id="0"/>
      <w:bookmarkEnd w:id="1"/>
      <w:r>
        <w:rPr>
          <w:rFonts w:hint="eastAsia"/>
        </w:rPr>
        <w:t>和发展基础</w:t>
      </w:r>
      <w:bookmarkEnd w:id="3"/>
    </w:p>
    <w:p>
      <w:pPr>
        <w:pStyle w:val="5"/>
        <w:ind w:firstLine="643"/>
      </w:pPr>
      <w:bookmarkStart w:id="4" w:name="_Toc17853"/>
      <w:bookmarkStart w:id="5" w:name="_Toc5765"/>
      <w:bookmarkStart w:id="6" w:name="_Toc29449"/>
      <w:bookmarkStart w:id="7" w:name="_Toc24997"/>
      <w:bookmarkStart w:id="8" w:name="_Toc21357"/>
      <w:r>
        <w:rPr>
          <w:rFonts w:hint="eastAsia"/>
        </w:rPr>
        <w:t>第一节 规划背景</w:t>
      </w:r>
      <w:bookmarkEnd w:id="4"/>
      <w:bookmarkEnd w:id="5"/>
      <w:bookmarkEnd w:id="6"/>
      <w:bookmarkEnd w:id="7"/>
      <w:bookmarkEnd w:id="8"/>
    </w:p>
    <w:p>
      <w:pPr>
        <w:ind w:firstLine="560"/>
      </w:pPr>
      <w:r>
        <w:rPr>
          <w:rFonts w:hint="eastAsia"/>
        </w:rPr>
        <w:t>“十四五”时期是我国全面建成小康社会、实现第一个百年奋斗目标之后，乘势而上，开启全面建设社会主义现代化国家新征程、向第二个百年奋斗目标进军的第一个五年。“十三五”目标完成后，我国已转向高质量发展阶段，制度优势显著，治理效能提升，经济长期向好，物质基础雄厚，人力资源丰富，市场空间广阔，发展韧性强劲，社会大局稳定。 “十四五”时期是我县由高质量脱贫摘帽迈向基本实现社会主义现代化新征程、全面推进城乡融合发展的关键时期，必须充分发挥自身优势，大力培育经济发展新的增长极，全力推进经济社会高质量发展。</w:t>
      </w:r>
      <w:bookmarkStart w:id="9" w:name="_Toc14490"/>
      <w:bookmarkStart w:id="10" w:name="_Toc2383"/>
    </w:p>
    <w:bookmarkEnd w:id="9"/>
    <w:bookmarkEnd w:id="10"/>
    <w:p>
      <w:pPr>
        <w:pStyle w:val="5"/>
        <w:ind w:firstLine="643"/>
      </w:pPr>
      <w:bookmarkStart w:id="11" w:name="_Toc22015"/>
      <w:bookmarkStart w:id="12" w:name="_Toc18767"/>
      <w:bookmarkStart w:id="13" w:name="_Toc14828"/>
      <w:bookmarkStart w:id="14" w:name="_Toc26477"/>
      <w:bookmarkStart w:id="15" w:name="_Toc4247"/>
      <w:r>
        <w:rPr>
          <w:rFonts w:hint="eastAsia"/>
        </w:rPr>
        <w:t xml:space="preserve">第二节 </w:t>
      </w:r>
      <w:bookmarkEnd w:id="11"/>
      <w:bookmarkEnd w:id="12"/>
      <w:bookmarkEnd w:id="13"/>
      <w:bookmarkEnd w:id="14"/>
      <w:r>
        <w:rPr>
          <w:rFonts w:hint="eastAsia"/>
        </w:rPr>
        <w:t>发展基础</w:t>
      </w:r>
      <w:bookmarkEnd w:id="15"/>
    </w:p>
    <w:p>
      <w:pPr>
        <w:pStyle w:val="6"/>
        <w:ind w:firstLine="643"/>
        <w:rPr>
          <w:rFonts w:ascii="仿宋" w:hAnsi="仿宋" w:cs="仿宋"/>
          <w:sz w:val="32"/>
        </w:rPr>
      </w:pPr>
      <w:bookmarkStart w:id="16" w:name="_Toc15754"/>
      <w:bookmarkStart w:id="17" w:name="_Toc8778"/>
      <w:bookmarkStart w:id="18" w:name="_Toc11211"/>
      <w:r>
        <w:rPr>
          <w:rFonts w:hint="eastAsia" w:ascii="仿宋" w:hAnsi="仿宋" w:cs="仿宋"/>
          <w:sz w:val="32"/>
        </w:rPr>
        <w:t>1.2.1 城镇规模迅速扩大</w:t>
      </w:r>
      <w:bookmarkEnd w:id="16"/>
      <w:bookmarkEnd w:id="17"/>
      <w:bookmarkEnd w:id="18"/>
    </w:p>
    <w:p>
      <w:pPr>
        <w:ind w:firstLine="560"/>
      </w:pPr>
      <w:r>
        <w:rPr>
          <w:rFonts w:hint="eastAsia"/>
        </w:rPr>
        <w:t xml:space="preserve"> “十三五”时期，隆回县委县政府实施“北拓南提、东进西展”战略，城东突破东环线向东延伸，建成辰河世家、龙江山水、东城一号等一批现代居民区，城南新建环城南路、赧水南路，拉动巴黎新城、碧桂园、花堤半岛、鹏阳滨江国际等一批高端住宅区建设，打造成为赧水两岸风光带，城西依附赧水北路、九龙路建设撬动西城首府、景江豪庭、华悦商城、方大桂花城、九龙山小区等一系列新楼盘竣工，城北依托高铁站建成投运，高铁新城道路骨架基本形成。金石桥镇、小沙江镇等乡镇依托交通和产业，推进镇区发展，全县城镇建设风生水起，城乡面貌焕然一新。全县城镇建成区面积由2016年的65.58平方公里，扩大到20</w:t>
      </w:r>
      <w:r>
        <w:t>20</w:t>
      </w:r>
      <w:r>
        <w:rPr>
          <w:rFonts w:hint="eastAsia"/>
        </w:rPr>
        <w:t>年的81.31平方公里，其中县城建成区面积由2016年的20平方公里，扩大到20</w:t>
      </w:r>
      <w:r>
        <w:t>20</w:t>
      </w:r>
      <w:r>
        <w:rPr>
          <w:rFonts w:hint="eastAsia"/>
        </w:rPr>
        <w:t>年的</w:t>
      </w:r>
      <w:r>
        <w:t>27.17</w:t>
      </w:r>
      <w:r>
        <w:rPr>
          <w:rFonts w:hint="eastAsia"/>
        </w:rPr>
        <w:t>平方公里。</w:t>
      </w:r>
    </w:p>
    <w:p>
      <w:pPr>
        <w:ind w:firstLine="560"/>
      </w:pPr>
      <w:r>
        <w:drawing>
          <wp:inline distT="0" distB="0" distL="0" distR="0">
            <wp:extent cx="4740910" cy="2743200"/>
            <wp:effectExtent l="0" t="0" r="254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6"/>
        <w:ind w:firstLine="643"/>
        <w:rPr>
          <w:rFonts w:ascii="仿宋" w:hAnsi="仿宋" w:cs="仿宋"/>
          <w:sz w:val="32"/>
        </w:rPr>
      </w:pPr>
      <w:bookmarkStart w:id="19" w:name="_Toc25019"/>
      <w:bookmarkStart w:id="20" w:name="_Toc31509"/>
      <w:bookmarkStart w:id="21" w:name="_Toc12902"/>
      <w:r>
        <w:rPr>
          <w:rFonts w:hint="eastAsia" w:ascii="仿宋" w:hAnsi="仿宋" w:cs="仿宋"/>
          <w:sz w:val="32"/>
        </w:rPr>
        <w:t>1.2.2 城镇化速度不断加快</w:t>
      </w:r>
      <w:bookmarkEnd w:id="19"/>
      <w:bookmarkEnd w:id="20"/>
      <w:bookmarkEnd w:id="21"/>
    </w:p>
    <w:p>
      <w:pPr>
        <w:ind w:firstLine="560"/>
      </w:pPr>
      <w:r>
        <w:rPr>
          <w:rFonts w:hint="eastAsia"/>
        </w:rPr>
        <w:t xml:space="preserve">    城镇化率从2015年</w:t>
      </w:r>
      <w:r>
        <w:t>33.2</w:t>
      </w:r>
      <w:r>
        <w:rPr>
          <w:rFonts w:hint="eastAsia"/>
        </w:rPr>
        <w:t>%提升到20</w:t>
      </w:r>
      <w:r>
        <w:t>20</w:t>
      </w:r>
      <w:r>
        <w:rPr>
          <w:rFonts w:hint="eastAsia"/>
        </w:rPr>
        <w:t>年的43.02%，人口城市化年均增速达到13.6%，增速居全市第一。</w:t>
      </w:r>
    </w:p>
    <w:p>
      <w:pPr>
        <w:ind w:firstLine="0" w:firstLineChars="0"/>
      </w:pPr>
      <w:r>
        <w:drawing>
          <wp:inline distT="0" distB="0" distL="0" distR="0">
            <wp:extent cx="5579745" cy="3359785"/>
            <wp:effectExtent l="0" t="0" r="1905" b="1206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6"/>
        <w:ind w:firstLine="643"/>
        <w:rPr>
          <w:rFonts w:ascii="仿宋" w:hAnsi="仿宋" w:cs="仿宋"/>
          <w:sz w:val="32"/>
        </w:rPr>
      </w:pPr>
      <w:bookmarkStart w:id="22" w:name="_Toc31086"/>
      <w:bookmarkStart w:id="23" w:name="_Toc12223"/>
      <w:bookmarkStart w:id="24" w:name="_Toc20806"/>
      <w:r>
        <w:rPr>
          <w:rFonts w:hint="eastAsia" w:ascii="仿宋" w:hAnsi="仿宋" w:cs="仿宋"/>
          <w:sz w:val="32"/>
        </w:rPr>
        <w:t>1.2.3 公共服务水平大步提升</w:t>
      </w:r>
      <w:bookmarkEnd w:id="22"/>
      <w:bookmarkEnd w:id="23"/>
      <w:bookmarkEnd w:id="24"/>
    </w:p>
    <w:p>
      <w:pPr>
        <w:ind w:firstLine="560"/>
      </w:pPr>
      <w:r>
        <w:rPr>
          <w:rFonts w:hint="eastAsia"/>
        </w:rPr>
        <w:t xml:space="preserve"> 隆回大道、魏源大道建成通车，环城南路西段、伏龙江路北段、环城北路站前段、龙门路等一批城市道路全面拉通，城区路网结构不断升级优化。桃洪中路平战结合人防工程顺利推进。县城新自来水厂建成并投入使用，城区垃圾治理、污水治理深入推进，垃圾无害化处理率达到</w:t>
      </w:r>
      <w:r>
        <w:t>8</w:t>
      </w:r>
      <w:r>
        <w:rPr>
          <w:rFonts w:hint="eastAsia"/>
        </w:rPr>
        <w:t>0%、城镇污水处理率达</w:t>
      </w:r>
      <w:r>
        <w:t>75</w:t>
      </w:r>
      <w:r>
        <w:rPr>
          <w:rFonts w:hint="eastAsia"/>
        </w:rPr>
        <w:t>%。县城区排水管网改造基本完成，“城市看海”问题有效缓解。老旧城区改造加快推进，全面完成8195户棚改任务。控建拆违有力有效，城区整顿座违法建设继续实现零容忍。生产生活条件明显改善。道路基础设施建设全面提速，2</w:t>
      </w:r>
      <w:r>
        <w:t>018</w:t>
      </w:r>
      <w:r>
        <w:rPr>
          <w:rFonts w:hint="eastAsia"/>
        </w:rPr>
        <w:t>年1</w:t>
      </w:r>
      <w:r>
        <w:t>2</w:t>
      </w:r>
      <w:r>
        <w:rPr>
          <w:rFonts w:hint="eastAsia"/>
        </w:rPr>
        <w:t>月2</w:t>
      </w:r>
      <w:r>
        <w:t>6</w:t>
      </w:r>
      <w:r>
        <w:rPr>
          <w:rFonts w:hint="eastAsia"/>
        </w:rPr>
        <w:t>日怀邵衡铁路全线通车，隆回高铁站站房、站前广场完成移交，隆回正式迈入高铁时代。沪昆高速周旺、隆回出口扩改工程完成竣工，呼北高速完成前期工作，隆武公路、白水公路、崇山公路、崇文公路等建成通车，大花至善缘亭、金石桥至高洲温泉公路开工建设，G320过境线基本完工，国省干线公路总长584.39公里、县道总长343公里、乡村公路总里程达6644公里，“三纵三横三连”的干线公路骨架全面形成，道路通畅率达100%。</w:t>
      </w:r>
    </w:p>
    <w:p>
      <w:pPr>
        <w:pStyle w:val="6"/>
        <w:ind w:firstLine="643"/>
        <w:rPr>
          <w:rFonts w:ascii="仿宋" w:hAnsi="仿宋" w:cs="仿宋"/>
          <w:sz w:val="32"/>
        </w:rPr>
      </w:pPr>
      <w:bookmarkStart w:id="25" w:name="_Toc19305"/>
      <w:bookmarkStart w:id="26" w:name="_Toc2146"/>
      <w:bookmarkStart w:id="27" w:name="_Toc15486"/>
      <w:r>
        <w:rPr>
          <w:rFonts w:hint="eastAsia" w:ascii="仿宋" w:hAnsi="仿宋" w:cs="仿宋"/>
          <w:sz w:val="32"/>
        </w:rPr>
        <w:t>1.2.4 城市宜居环境得到改善</w:t>
      </w:r>
      <w:bookmarkEnd w:id="25"/>
      <w:bookmarkEnd w:id="26"/>
      <w:bookmarkEnd w:id="27"/>
    </w:p>
    <w:p>
      <w:pPr>
        <w:ind w:firstLine="560"/>
      </w:pPr>
      <w:r>
        <w:rPr>
          <w:rFonts w:hint="eastAsia"/>
          <w:lang w:val="zh-TW"/>
        </w:rPr>
        <w:t>“十三五”期间，</w:t>
      </w:r>
      <w:r>
        <w:rPr>
          <w:rFonts w:hint="eastAsia"/>
        </w:rPr>
        <w:t>隆回县</w:t>
      </w:r>
      <w:r>
        <w:rPr>
          <w:rFonts w:hint="eastAsia"/>
          <w:lang w:val="zh-TW"/>
        </w:rPr>
        <w:t>深入实施“生态秀县”战略，推进“森林城市”创建，</w:t>
      </w:r>
      <w:r>
        <w:t>全县完成造林33.3万亩，完成中幼林抚育33万亩，完成退化防护林修复改造12.5万亩；完成义务植树1000余万株；全县有林地面积由243.9万亩提高到245.9万亩；森林覆盖率由59.76%提高到59.90%，活立木总蓄积量由903万立方米提高到1056万立方米</w:t>
      </w:r>
      <w:r>
        <w:rPr>
          <w:rFonts w:hint="eastAsia"/>
        </w:rPr>
        <w:t>，城建绿化累计植树3万余棵，人均绿地面积从2015年不到8平米增加</w:t>
      </w:r>
      <w:r>
        <w:rPr>
          <w:rFonts w:hint="eastAsia"/>
          <w:lang w:val="zh-TW"/>
        </w:rPr>
        <w:t>到20</w:t>
      </w:r>
      <w:r>
        <w:rPr>
          <w:rFonts w:hint="eastAsia"/>
        </w:rPr>
        <w:t>20</w:t>
      </w:r>
      <w:r>
        <w:rPr>
          <w:rFonts w:hint="eastAsia"/>
          <w:lang w:val="zh-TW"/>
        </w:rPr>
        <w:t>年的</w:t>
      </w:r>
      <w:r>
        <w:rPr>
          <w:rFonts w:hint="eastAsia"/>
        </w:rPr>
        <w:t>9.6</w:t>
      </w:r>
      <w:r>
        <w:rPr>
          <w:rFonts w:hint="eastAsia"/>
          <w:lang w:val="en-US" w:eastAsia="zh-CN"/>
        </w:rPr>
        <w:t xml:space="preserve"> </w:t>
      </w:r>
      <w:r>
        <w:rPr>
          <w:rFonts w:hint="eastAsia"/>
        </w:rPr>
        <w:t>8</w:t>
      </w:r>
      <w:r>
        <w:drawing>
          <wp:anchor distT="0" distB="0" distL="114300" distR="114300" simplePos="0" relativeHeight="251661312" behindDoc="0" locked="0" layoutInCell="1" allowOverlap="1">
            <wp:simplePos x="0" y="0"/>
            <wp:positionH relativeFrom="column">
              <wp:posOffset>316230</wp:posOffset>
            </wp:positionH>
            <wp:positionV relativeFrom="page">
              <wp:posOffset>6926580</wp:posOffset>
            </wp:positionV>
            <wp:extent cx="4572000" cy="2743200"/>
            <wp:effectExtent l="4445" t="4445" r="14605" b="14605"/>
            <wp:wrapTopAndBottom/>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hint="eastAsia"/>
          <w:lang w:val="zh-TW"/>
        </w:rPr>
        <w:t>平米</w:t>
      </w:r>
      <w:r>
        <w:t>。林业生态体系逐步完善，重点区域生态状况恶化趋势得到有效遏制，生态环境明显改善，青山绿水的生态优势得到进一步巩固。</w:t>
      </w:r>
      <w:r>
        <w:rPr>
          <w:rFonts w:hint="eastAsia"/>
          <w:lang w:val="zh-TW"/>
        </w:rPr>
        <w:t>污染防治攻坚战取得阶段性胜利，蓝天保卫战、河长制工作全市领先，污染防治攻坚战居东部六县市第一，生态环境质量逐步得到改善，主要污染物减排指</w:t>
      </w:r>
      <w:r>
        <w:rPr>
          <w:rFonts w:hint="eastAsia"/>
        </w:rPr>
        <w:t>标基本完成，生态环境污染突出问题基本解决，大环保工作格局基本形成。中央、省环保督察组反馈的79个突出环保问题已对标对表全部整改销号到位，完成质量位居全市第一。小沙江石材企业全面关停退出，投入2.56亿元开展厂区生态修复，矿区生态环境明显改善，得到国家长江委的充分肯定。扬尘污染、垃圾焚烧等大气污染得到有效遏制，空气质量优良率达88.1%，蓝天保卫战工作在全市综合督查中位居第二名。深入开展县城饮用水源保护区整治专项行动，在全市率先完成“千吨万人”饮用水源保护区划定，全部关停退养饮用水源保护区内畜禽养殖场，赧水河、小江河等重点流域综合整治有序推进，国家地表水考核断面水质均达Ⅲ类标准以上，资江重点水环境功能区水质均达Ⅱ类标准以上，水质达标率100%。</w:t>
      </w:r>
    </w:p>
    <w:p>
      <w:pPr>
        <w:pStyle w:val="6"/>
        <w:ind w:firstLine="643"/>
        <w:rPr>
          <w:rFonts w:ascii="仿宋" w:hAnsi="仿宋" w:cs="仿宋"/>
          <w:sz w:val="32"/>
        </w:rPr>
      </w:pPr>
      <w:bookmarkStart w:id="28" w:name="_Toc10171"/>
      <w:bookmarkStart w:id="29" w:name="_Toc8892"/>
      <w:bookmarkStart w:id="30" w:name="_Toc4349"/>
      <w:r>
        <w:rPr>
          <w:rFonts w:hint="eastAsia" w:ascii="仿宋" w:hAnsi="仿宋" w:cs="仿宋"/>
          <w:sz w:val="32"/>
        </w:rPr>
        <w:t>1.2.5 城镇配套建设得到完善</w:t>
      </w:r>
      <w:bookmarkEnd w:id="28"/>
      <w:bookmarkEnd w:id="29"/>
      <w:bookmarkEnd w:id="30"/>
    </w:p>
    <w:p>
      <w:pPr>
        <w:ind w:firstLine="560"/>
      </w:pPr>
      <w:r>
        <w:rPr>
          <w:rFonts w:hint="eastAsia"/>
        </w:rPr>
        <w:t>“十三五以来，累计完成城建基础设施投入111.75亿元，其中社会投资66.93亿元，政府投资44.82亿元。建筑业完成产值156亿元，房地产业完成投资55亿元，物业维修基金近3亿元。隆回大道、魏源大道建成通车，环城南路西段、伏龙江路北段、环城北路站前段、龙门路等一批城市道路全面拉通，城区路网结构不断升级优化。桃洪中路平战结合人防工程顺利推进。县城新自来水厂建成并投入使用，城区垃圾治理、污水治理深入推进，垃圾无害化处理率达到80%、城镇污水处理率达75%。县城区排水管网改造基本完成，“城市看海”问题有效缓解。老旧城区改造加快推进，全面完成8195户棚改任务。</w:t>
      </w:r>
    </w:p>
    <w:p>
      <w:pPr>
        <w:pStyle w:val="5"/>
        <w:ind w:firstLine="643"/>
        <w:rPr>
          <w:rFonts w:hint="eastAsia"/>
        </w:rPr>
      </w:pPr>
      <w:bookmarkStart w:id="31" w:name="_Toc4376"/>
      <w:bookmarkStart w:id="32" w:name="_Toc7857"/>
      <w:bookmarkStart w:id="33" w:name="_Toc30978"/>
      <w:bookmarkStart w:id="34" w:name="_Toc25048"/>
      <w:r>
        <w:drawing>
          <wp:anchor distT="0" distB="0" distL="114300" distR="114300" simplePos="0" relativeHeight="251662336" behindDoc="0" locked="0" layoutInCell="1" allowOverlap="1">
            <wp:simplePos x="0" y="0"/>
            <wp:positionH relativeFrom="column">
              <wp:posOffset>112395</wp:posOffset>
            </wp:positionH>
            <wp:positionV relativeFrom="page">
              <wp:posOffset>4708525</wp:posOffset>
            </wp:positionV>
            <wp:extent cx="4572000" cy="2743200"/>
            <wp:effectExtent l="4445" t="4445" r="14605" b="14605"/>
            <wp:wrapNone/>
            <wp:docPr id="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pPr>
        <w:pStyle w:val="5"/>
        <w:ind w:firstLine="643"/>
        <w:rPr>
          <w:rFonts w:hint="eastAsia"/>
        </w:rPr>
      </w:pPr>
    </w:p>
    <w:p>
      <w:pPr>
        <w:pStyle w:val="5"/>
        <w:ind w:firstLine="643"/>
        <w:rPr>
          <w:rFonts w:hint="eastAsia"/>
        </w:rPr>
      </w:pPr>
    </w:p>
    <w:p>
      <w:pPr>
        <w:pStyle w:val="5"/>
        <w:ind w:firstLine="643"/>
        <w:rPr>
          <w:rFonts w:hint="eastAsia"/>
        </w:rPr>
      </w:pPr>
    </w:p>
    <w:p>
      <w:pPr>
        <w:pStyle w:val="5"/>
        <w:ind w:firstLine="643"/>
        <w:rPr>
          <w:rFonts w:hint="eastAsia"/>
        </w:rPr>
      </w:pPr>
    </w:p>
    <w:p>
      <w:pPr>
        <w:pStyle w:val="5"/>
        <w:ind w:firstLine="643"/>
      </w:pPr>
      <w:bookmarkStart w:id="35" w:name="_Toc2437"/>
      <w:r>
        <w:rPr>
          <w:rFonts w:hint="eastAsia"/>
        </w:rPr>
        <w:t xml:space="preserve">第三节 </w:t>
      </w:r>
      <w:bookmarkEnd w:id="31"/>
      <w:bookmarkEnd w:id="32"/>
      <w:bookmarkEnd w:id="33"/>
      <w:bookmarkEnd w:id="34"/>
      <w:r>
        <w:rPr>
          <w:rFonts w:hint="eastAsia"/>
        </w:rPr>
        <w:t>现实差距</w:t>
      </w:r>
      <w:bookmarkEnd w:id="35"/>
    </w:p>
    <w:p>
      <w:pPr>
        <w:pStyle w:val="6"/>
        <w:ind w:firstLine="643"/>
        <w:rPr>
          <w:rFonts w:ascii="仿宋" w:hAnsi="仿宋" w:cs="仿宋"/>
          <w:sz w:val="32"/>
        </w:rPr>
      </w:pPr>
      <w:bookmarkStart w:id="36" w:name="_Toc1100"/>
      <w:bookmarkStart w:id="37" w:name="_Toc22934"/>
      <w:bookmarkStart w:id="38" w:name="_Toc26111"/>
      <w:r>
        <w:rPr>
          <w:rFonts w:hint="eastAsia" w:ascii="仿宋" w:hAnsi="仿宋" w:cs="仿宋"/>
          <w:sz w:val="32"/>
        </w:rPr>
        <w:t>1.3.1发展质量不高</w:t>
      </w:r>
      <w:bookmarkEnd w:id="36"/>
      <w:bookmarkEnd w:id="37"/>
      <w:bookmarkEnd w:id="38"/>
    </w:p>
    <w:p>
      <w:pPr>
        <w:ind w:firstLine="640"/>
      </w:pPr>
      <w:r>
        <w:rPr>
          <w:rFonts w:hint="eastAsia" w:ascii="仿宋" w:hAnsi="仿宋" w:cs="仿宋"/>
          <w:sz w:val="32"/>
        </w:rPr>
        <w:t xml:space="preserve"> </w:t>
      </w:r>
      <w:r>
        <w:rPr>
          <w:rFonts w:hint="eastAsia"/>
        </w:rPr>
        <w:t>隆回县城在发展过程中，城市扩张速度较快，但是缺乏产业支撑力度，城市产业经济特色不明显;隆回县的建制镇，围绕交通和商贸物流集聚型较多，围绕产业、围绕文化、围绕资源为特色的建制镇较少，建制镇的发展同质化比较严重，特色彰显严重不够，没有形成文化特色、产业特色、资源特色和发展特色</w:t>
      </w:r>
      <w:bookmarkStart w:id="39" w:name="_Toc5064"/>
      <w:bookmarkStart w:id="40" w:name="_Toc24468"/>
      <w:bookmarkStart w:id="41" w:name="_Toc15317"/>
      <w:r>
        <w:rPr>
          <w:rFonts w:hint="eastAsia"/>
        </w:rPr>
        <w:t>;</w:t>
      </w:r>
      <w:r>
        <w:rPr>
          <w:rFonts w:hint="eastAsia" w:ascii="仿宋" w:hAnsi="仿宋" w:cs="仿宋"/>
          <w:sz w:val="32"/>
        </w:rPr>
        <w:t>环境代价较大</w:t>
      </w:r>
      <w:bookmarkEnd w:id="39"/>
      <w:bookmarkEnd w:id="40"/>
      <w:bookmarkEnd w:id="41"/>
      <w:r>
        <w:rPr>
          <w:rFonts w:hint="eastAsia"/>
        </w:rPr>
        <w:t>,2019年全国万元GDP能耗是0.52吨标煤/万元，湖南省是0.33吨标煤/万元，邵阳市的能耗是0.55吨标煤/万元，隆回县是0.56吨标煤/万元。很明显，隆回县的能耗值比较高。进一步优化产业升级的空间较大。</w:t>
      </w:r>
    </w:p>
    <w:p>
      <w:pPr>
        <w:pStyle w:val="6"/>
        <w:ind w:firstLine="643"/>
        <w:rPr>
          <w:rFonts w:ascii="仿宋" w:hAnsi="仿宋" w:cs="仿宋"/>
          <w:sz w:val="32"/>
        </w:rPr>
      </w:pPr>
      <w:bookmarkStart w:id="42" w:name="_Toc30311"/>
      <w:bookmarkStart w:id="43" w:name="_Toc5589"/>
      <w:bookmarkStart w:id="44" w:name="_Toc29365"/>
      <w:r>
        <w:rPr>
          <w:rFonts w:hint="eastAsia" w:ascii="仿宋" w:hAnsi="仿宋" w:cs="仿宋"/>
          <w:sz w:val="32"/>
        </w:rPr>
        <w:t>1.3.2二元分割</w:t>
      </w:r>
      <w:bookmarkEnd w:id="42"/>
      <w:bookmarkEnd w:id="43"/>
      <w:bookmarkEnd w:id="44"/>
      <w:r>
        <w:rPr>
          <w:rFonts w:hint="eastAsia" w:ascii="仿宋" w:hAnsi="仿宋" w:cs="仿宋"/>
          <w:sz w:val="32"/>
        </w:rPr>
        <w:t>加剧</w:t>
      </w:r>
    </w:p>
    <w:p>
      <w:pPr>
        <w:ind w:firstLine="560"/>
        <w:jc w:val="left"/>
        <w:rPr>
          <w:rFonts w:ascii="仿宋" w:hAnsi="仿宋" w:cs="仿宋"/>
          <w:sz w:val="32"/>
        </w:rPr>
      </w:pPr>
      <w:r>
        <w:drawing>
          <wp:anchor distT="0" distB="0" distL="114300" distR="114300" simplePos="0" relativeHeight="251663360" behindDoc="0" locked="0" layoutInCell="1" allowOverlap="1">
            <wp:simplePos x="0" y="0"/>
            <wp:positionH relativeFrom="column">
              <wp:posOffset>-135255</wp:posOffset>
            </wp:positionH>
            <wp:positionV relativeFrom="page">
              <wp:posOffset>6195695</wp:posOffset>
            </wp:positionV>
            <wp:extent cx="5576570" cy="3529330"/>
            <wp:effectExtent l="4445" t="4445" r="19685" b="9525"/>
            <wp:wrapNone/>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hint="eastAsia"/>
          <w:szCs w:val="30"/>
        </w:rPr>
        <w:t>城乡居民可支配收入差距在进一步拉大，2016年城镇居民人均可支配收入为21391元，农村居民人均可支配收入为8094元，城乡居民人均可支配收入差距为13297元，通过5年的发展，到20</w:t>
      </w:r>
      <w:r>
        <w:rPr>
          <w:szCs w:val="30"/>
        </w:rPr>
        <w:t>20</w:t>
      </w:r>
      <w:r>
        <w:rPr>
          <w:rFonts w:hint="eastAsia"/>
          <w:szCs w:val="30"/>
        </w:rPr>
        <w:t>年，城镇居民人均可支配收入为</w:t>
      </w:r>
      <w:r>
        <w:rPr>
          <w:szCs w:val="30"/>
        </w:rPr>
        <w:t>28449</w:t>
      </w:r>
      <w:r>
        <w:rPr>
          <w:rFonts w:hint="eastAsia"/>
          <w:szCs w:val="30"/>
        </w:rPr>
        <w:t>元，农村居民人均可支配收入为1</w:t>
      </w:r>
      <w:r>
        <w:rPr>
          <w:szCs w:val="30"/>
        </w:rPr>
        <w:t>2589</w:t>
      </w:r>
      <w:r>
        <w:rPr>
          <w:rFonts w:hint="eastAsia"/>
          <w:szCs w:val="30"/>
        </w:rPr>
        <w:t>元，城乡居民人均可支配收入差距扩大到158</w:t>
      </w:r>
      <w:r>
        <w:rPr>
          <w:szCs w:val="30"/>
        </w:rPr>
        <w:t>60</w:t>
      </w:r>
      <w:r>
        <w:rPr>
          <w:rFonts w:hint="eastAsia"/>
          <w:szCs w:val="30"/>
        </w:rPr>
        <w:t>元，</w:t>
      </w:r>
      <w:r>
        <w:rPr>
          <w:rFonts w:hint="eastAsia" w:ascii="仿宋" w:hAnsi="仿宋" w:cs="仿宋"/>
          <w:sz w:val="32"/>
        </w:rPr>
        <w:t>城乡发展不够平衡，</w:t>
      </w:r>
      <w:r>
        <w:rPr>
          <w:rFonts w:hint="eastAsia"/>
        </w:rPr>
        <w:t>通过分析，隆回县城扩张速度较快，人口流向集中县城，建设投入集中县城，非农就业集中县城，产值税收集中县城。与县城相比，建制镇的发展速度放缓，人口城镇化速度较低。</w:t>
      </w:r>
    </w:p>
    <w:p>
      <w:pPr>
        <w:pStyle w:val="34"/>
        <w:spacing w:line="560" w:lineRule="exact"/>
        <w:ind w:firstLine="0" w:firstLineChars="0"/>
        <w:rPr>
          <w:szCs w:val="30"/>
        </w:rPr>
      </w:pPr>
    </w:p>
    <w:p>
      <w:pPr>
        <w:pStyle w:val="34"/>
        <w:spacing w:line="560" w:lineRule="exact"/>
        <w:ind w:firstLine="0" w:firstLineChars="0"/>
        <w:rPr>
          <w:szCs w:val="30"/>
        </w:rPr>
      </w:pPr>
    </w:p>
    <w:p>
      <w:pPr>
        <w:pStyle w:val="34"/>
        <w:spacing w:line="560" w:lineRule="exact"/>
        <w:ind w:firstLine="0" w:firstLineChars="0"/>
        <w:rPr>
          <w:szCs w:val="30"/>
        </w:rPr>
      </w:pPr>
    </w:p>
    <w:p>
      <w:pPr>
        <w:pStyle w:val="34"/>
        <w:spacing w:line="560" w:lineRule="exact"/>
        <w:ind w:firstLine="0" w:firstLineChars="0"/>
        <w:rPr>
          <w:szCs w:val="30"/>
        </w:rPr>
      </w:pPr>
    </w:p>
    <w:p>
      <w:pPr>
        <w:pStyle w:val="34"/>
        <w:spacing w:line="560" w:lineRule="exact"/>
        <w:ind w:firstLine="0" w:firstLineChars="0"/>
        <w:rPr>
          <w:szCs w:val="30"/>
        </w:rPr>
      </w:pPr>
    </w:p>
    <w:p>
      <w:pPr>
        <w:pStyle w:val="34"/>
        <w:spacing w:line="560" w:lineRule="exact"/>
        <w:ind w:firstLine="0" w:firstLineChars="0"/>
        <w:rPr>
          <w:rFonts w:ascii="仿宋" w:hAnsi="仿宋" w:cs="仿宋"/>
          <w:sz w:val="32"/>
        </w:rPr>
      </w:pPr>
      <w:bookmarkStart w:id="45" w:name="_Toc18299"/>
      <w:bookmarkStart w:id="46" w:name="_Toc14938"/>
      <w:bookmarkStart w:id="47" w:name="_Toc27658"/>
    </w:p>
    <w:p>
      <w:pPr>
        <w:pStyle w:val="34"/>
        <w:spacing w:line="560" w:lineRule="exact"/>
        <w:ind w:firstLine="0" w:firstLineChars="0"/>
        <w:rPr>
          <w:rFonts w:ascii="仿宋" w:hAnsi="仿宋" w:cs="仿宋"/>
          <w:sz w:val="32"/>
        </w:rPr>
      </w:pPr>
    </w:p>
    <w:p>
      <w:pPr>
        <w:pStyle w:val="34"/>
        <w:spacing w:line="560" w:lineRule="exact"/>
        <w:ind w:firstLine="0" w:firstLineChars="0"/>
        <w:rPr>
          <w:rFonts w:ascii="仿宋" w:hAnsi="仿宋" w:cs="仿宋"/>
          <w:sz w:val="32"/>
        </w:rPr>
      </w:pPr>
    </w:p>
    <w:p>
      <w:pPr>
        <w:pStyle w:val="34"/>
        <w:spacing w:line="560" w:lineRule="exact"/>
        <w:ind w:firstLine="0" w:firstLineChars="0"/>
        <w:rPr>
          <w:rFonts w:ascii="仿宋" w:hAnsi="仿宋" w:cs="仿宋"/>
          <w:sz w:val="32"/>
        </w:rPr>
      </w:pPr>
    </w:p>
    <w:p>
      <w:pPr>
        <w:pStyle w:val="6"/>
        <w:ind w:firstLine="643"/>
        <w:rPr>
          <w:rFonts w:ascii="仿宋" w:hAnsi="仿宋" w:cs="仿宋"/>
          <w:sz w:val="32"/>
        </w:rPr>
      </w:pPr>
      <w:r>
        <w:rPr>
          <w:rFonts w:hint="eastAsia" w:ascii="仿宋" w:hAnsi="仿宋" w:cs="仿宋"/>
          <w:sz w:val="32"/>
        </w:rPr>
        <w:t>1.2.3 转移人口市民化滞后</w:t>
      </w:r>
      <w:bookmarkEnd w:id="45"/>
      <w:bookmarkEnd w:id="46"/>
      <w:bookmarkEnd w:id="47"/>
      <w:r>
        <w:rPr>
          <w:rFonts w:hint="eastAsia" w:ascii="仿宋" w:hAnsi="仿宋" w:cs="仿宋"/>
          <w:sz w:val="32"/>
        </w:rPr>
        <w:t xml:space="preserve"> </w:t>
      </w:r>
    </w:p>
    <w:p>
      <w:pPr>
        <w:ind w:firstLine="560"/>
      </w:pPr>
      <w:bookmarkStart w:id="48" w:name="_Toc31502"/>
      <w:r>
        <w:rPr>
          <w:rFonts w:hint="eastAsia"/>
        </w:rPr>
        <w:t>根据隆回县统计年鉴资料，“十二五”期末，隆回县城镇各类就业人口27469人，“十三五”期末达到31923人，增加4454人，增长1</w:t>
      </w:r>
      <w:r>
        <w:t>3.96%</w:t>
      </w:r>
      <w:r>
        <w:rPr>
          <w:rFonts w:hint="eastAsia"/>
        </w:rPr>
        <w:t>，但是县城人口由原来的20万人增加到2</w:t>
      </w:r>
      <w:r>
        <w:t>5</w:t>
      </w:r>
      <w:r>
        <w:rPr>
          <w:rFonts w:hint="eastAsia"/>
        </w:rPr>
        <w:t>万人，县城人口增加</w:t>
      </w:r>
      <w:r>
        <w:t>5</w:t>
      </w:r>
      <w:r>
        <w:rPr>
          <w:rFonts w:hint="eastAsia"/>
        </w:rPr>
        <w:t>万多人，增长2</w:t>
      </w:r>
      <w:r>
        <w:t>5%</w:t>
      </w:r>
      <w:r>
        <w:rPr>
          <w:rFonts w:hint="eastAsia"/>
        </w:rPr>
        <w:t>，县城就业人口增速远远低于县城人口增速，就业人口比例连续偏低，进城人口的城市化、市民化比较滞后</w:t>
      </w:r>
      <w:bookmarkEnd w:id="48"/>
      <w:r>
        <w:rPr>
          <w:rFonts w:hint="eastAsia"/>
        </w:rPr>
        <w:t>，距离国家“六稳六保”目标要求存在一定差距。</w:t>
      </w:r>
    </w:p>
    <w:p>
      <w:pPr>
        <w:pStyle w:val="6"/>
        <w:ind w:firstLine="643"/>
        <w:rPr>
          <w:rFonts w:ascii="仿宋" w:hAnsi="仿宋" w:cs="仿宋"/>
          <w:sz w:val="32"/>
        </w:rPr>
      </w:pPr>
      <w:bookmarkStart w:id="49" w:name="_Toc6121"/>
      <w:bookmarkStart w:id="50" w:name="_Toc8856"/>
      <w:bookmarkStart w:id="51" w:name="_Toc15272"/>
      <w:r>
        <w:rPr>
          <w:rFonts w:hint="eastAsia" w:ascii="仿宋" w:hAnsi="仿宋" w:cs="仿宋"/>
          <w:sz w:val="32"/>
        </w:rPr>
        <w:t>1.2.4 基础设施不完善</w:t>
      </w:r>
      <w:bookmarkEnd w:id="49"/>
      <w:bookmarkEnd w:id="50"/>
      <w:bookmarkEnd w:id="51"/>
    </w:p>
    <w:p>
      <w:pPr>
        <w:ind w:firstLine="640"/>
      </w:pPr>
      <w:r>
        <w:rPr>
          <w:rFonts w:hint="eastAsia" w:ascii="仿宋" w:hAnsi="仿宋" w:cs="仿宋"/>
          <w:sz w:val="32"/>
        </w:rPr>
        <w:t xml:space="preserve"> </w:t>
      </w:r>
      <w:r>
        <w:rPr>
          <w:rFonts w:hint="eastAsia"/>
        </w:rPr>
        <w:t>隆回县城基础设施建设存在的问题比较突出，行政办公设施老旧落后、功能不全，机关单位七零八散，群众办事不便、公务人员上班不便；商业和购物中心集中在桃洪路、没有停车场配套，给群众购物办事带来不便；文化娱乐场所单一，分布位置集中县城中心，造成县城中心车辆扎堆、人员集聚，县城拥堵无序，没有公共文化场所、体育中心、文体中心、演艺中心，缺乏大型公众文化场所；社会公共体育设施基本处于空白，与国家全民健康计划要求差距甚远；医疗卫生设施落后，人民医院人满为患，到十三五末，全县医疗机构病床数仅为3980张，国家标准是每千人床位数6张，我县十三五末仅为3.2张；主要教育场所受历史布局条件的局限，师生出入条件很差，功能配套不完全，隆回一中、桃中、东方红小学、梨子园小学、群贤小学等学校集中布局，师生人流车流进出困难严重；公园绿地少，按照国家标准《城市绿地分类标准》CJJT85-2017强制性规定人均公园广场面积不小于10平米，隆回县城公园建设的规模、面积、设施配套还远远没有满足标准。</w:t>
      </w:r>
    </w:p>
    <w:p>
      <w:pPr>
        <w:pStyle w:val="6"/>
        <w:ind w:firstLine="643"/>
        <w:rPr>
          <w:rFonts w:ascii="仿宋" w:hAnsi="仿宋" w:cs="仿宋"/>
          <w:sz w:val="32"/>
        </w:rPr>
      </w:pPr>
      <w:bookmarkStart w:id="52" w:name="_Toc20327"/>
      <w:bookmarkStart w:id="53" w:name="_Toc28927"/>
      <w:bookmarkStart w:id="54" w:name="_Toc27751"/>
      <w:r>
        <w:rPr>
          <w:rFonts w:hint="eastAsia" w:ascii="仿宋" w:hAnsi="仿宋" w:cs="仿宋"/>
          <w:sz w:val="32"/>
        </w:rPr>
        <w:t>1.2.5 功能布局不科学</w:t>
      </w:r>
      <w:bookmarkEnd w:id="52"/>
      <w:bookmarkEnd w:id="53"/>
      <w:bookmarkEnd w:id="54"/>
      <w:r>
        <w:rPr>
          <w:rFonts w:hint="eastAsia" w:ascii="仿宋" w:hAnsi="仿宋" w:cs="仿宋"/>
          <w:sz w:val="32"/>
        </w:rPr>
        <w:t xml:space="preserve"> </w:t>
      </w:r>
    </w:p>
    <w:p>
      <w:pPr>
        <w:ind w:firstLine="560"/>
      </w:pPr>
      <w:r>
        <w:rPr>
          <w:rFonts w:hint="eastAsia"/>
        </w:rPr>
        <w:t xml:space="preserve">  </w:t>
      </w:r>
      <w:bookmarkStart w:id="55" w:name="_Toc6290"/>
      <w:bookmarkStart w:id="56" w:name="_Toc15141"/>
      <w:r>
        <w:rPr>
          <w:rFonts w:hint="eastAsia"/>
        </w:rPr>
        <w:t>原有县城发展没有明确功能分区，这是历史造成的，也是不可逆转的，但是，城市功能分区是需要在以后的发展中不断完善和加强的。缺乏清晰的城市功能分区，造成机关单位分散、商业服务密集、局部人员扎堆、主要通道车辆堵塞，在隆回县城出现了“车辆比大城市更堵、购物比大城市更绕、办事比大城市更烦、就医比大城市更挤、读书比大城市更难”的典型城市病。</w:t>
      </w:r>
      <w:bookmarkEnd w:id="55"/>
      <w:bookmarkEnd w:id="56"/>
    </w:p>
    <w:p>
      <w:pPr>
        <w:pStyle w:val="4"/>
        <w:ind w:firstLine="883"/>
        <w:rPr>
          <w:rFonts w:hint="eastAsia"/>
        </w:rPr>
      </w:pPr>
      <w:bookmarkStart w:id="57" w:name="_Toc28309"/>
      <w:bookmarkStart w:id="58" w:name="_Toc4996"/>
      <w:bookmarkStart w:id="59" w:name="_Toc27036"/>
      <w:bookmarkStart w:id="60" w:name="_Toc19481"/>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4"/>
        <w:ind w:firstLine="883"/>
      </w:pPr>
      <w:bookmarkStart w:id="61" w:name="_Toc19129"/>
      <w:r>
        <w:rPr>
          <w:rFonts w:hint="eastAsia"/>
        </w:rPr>
        <w:t>第二章 机遇挑战</w:t>
      </w:r>
      <w:bookmarkEnd w:id="57"/>
      <w:bookmarkEnd w:id="58"/>
      <w:bookmarkEnd w:id="59"/>
      <w:bookmarkEnd w:id="60"/>
      <w:bookmarkEnd w:id="61"/>
    </w:p>
    <w:p>
      <w:pPr>
        <w:pStyle w:val="5"/>
        <w:ind w:firstLine="643"/>
      </w:pPr>
      <w:bookmarkStart w:id="62" w:name="_Toc10879"/>
      <w:bookmarkStart w:id="63" w:name="_Toc13408"/>
      <w:bookmarkStart w:id="64" w:name="_Toc23712"/>
      <w:bookmarkStart w:id="65" w:name="_Toc31583"/>
      <w:bookmarkStart w:id="66" w:name="_Toc32454"/>
      <w:r>
        <w:rPr>
          <w:rFonts w:hint="eastAsia"/>
        </w:rPr>
        <w:t>第一节 建设机遇</w:t>
      </w:r>
      <w:bookmarkEnd w:id="62"/>
      <w:bookmarkEnd w:id="63"/>
      <w:bookmarkEnd w:id="64"/>
      <w:bookmarkEnd w:id="65"/>
      <w:bookmarkEnd w:id="66"/>
    </w:p>
    <w:p>
      <w:pPr>
        <w:pStyle w:val="6"/>
        <w:ind w:firstLine="643"/>
        <w:rPr>
          <w:rFonts w:ascii="仿宋" w:hAnsi="仿宋" w:cs="仿宋"/>
          <w:sz w:val="32"/>
        </w:rPr>
      </w:pPr>
      <w:bookmarkStart w:id="67" w:name="_Toc10404"/>
      <w:bookmarkStart w:id="68" w:name="_Toc32162"/>
      <w:bookmarkStart w:id="69" w:name="_Toc24854"/>
      <w:r>
        <w:rPr>
          <w:rFonts w:hint="eastAsia" w:ascii="仿宋" w:hAnsi="仿宋" w:cs="仿宋"/>
          <w:sz w:val="32"/>
        </w:rPr>
        <w:t>2.1.1新时代社会主义发展机遇</w:t>
      </w:r>
      <w:bookmarkEnd w:id="67"/>
      <w:bookmarkEnd w:id="68"/>
      <w:bookmarkEnd w:id="69"/>
    </w:p>
    <w:p>
      <w:pPr>
        <w:ind w:firstLine="560"/>
        <w:rPr>
          <w:szCs w:val="30"/>
        </w:rPr>
      </w:pPr>
      <w:r>
        <w:rPr>
          <w:rFonts w:hint="eastAsia"/>
        </w:rPr>
        <w:t>新时代中国特色社会主义，总目标是完善和发展中国特色社会主义制度、推进国家治理体系和治理能力现代化；必须坚持和完善我国社会主义基本经济制度和分配制度，毫不动摇巩固和发展公有制经济，毫不动摇鼓励、支持、引导非公有制经济发展，使市场在资源配置中起决定性作用，更好发挥政府作用，推动新型工业化、信息化、城镇化、农业现代化同步发展，主动参与和推动经济全球化进程，发展更高层次的开放型经济，不</w:t>
      </w:r>
      <w:r>
        <w:rPr>
          <w:rFonts w:hint="eastAsia"/>
          <w:szCs w:val="30"/>
        </w:rPr>
        <w:t>断壮大我国经济实力和综合国力；</w:t>
      </w:r>
      <w:r>
        <w:rPr>
          <w:szCs w:val="30"/>
        </w:rPr>
        <w:t>“十四五”时期是我县由脱贫摘帽迈向基本实现社会主义现代化新征程、全面推进城乡融合发展的关键时期，必须充分发挥自身优势，大力培育经济发展新的增长极，全力推进经济社会高质量发展</w:t>
      </w:r>
      <w:r>
        <w:rPr>
          <w:rFonts w:hint="eastAsia"/>
          <w:szCs w:val="30"/>
        </w:rPr>
        <w:t>。</w:t>
      </w:r>
    </w:p>
    <w:p>
      <w:pPr>
        <w:ind w:firstLine="560"/>
      </w:pPr>
      <w:r>
        <w:rPr>
          <w:rFonts w:hint="eastAsia"/>
        </w:rPr>
        <w:t>十九届五中全会指出提出要完善新型城镇化战略，构建高质量发展的国土空间布局和支撑体系。要构建国土空间开发保护新格局，推动区域协调发展，推进以人为核心的新型城镇化。</w:t>
      </w:r>
    </w:p>
    <w:p>
      <w:pPr>
        <w:pStyle w:val="6"/>
        <w:ind w:firstLine="643"/>
        <w:rPr>
          <w:rFonts w:ascii="仿宋" w:hAnsi="仿宋" w:cs="仿宋"/>
          <w:sz w:val="32"/>
        </w:rPr>
      </w:pPr>
      <w:bookmarkStart w:id="70" w:name="_Toc5411"/>
      <w:bookmarkStart w:id="71" w:name="_Toc28936"/>
      <w:bookmarkStart w:id="72" w:name="_Toc25468"/>
      <w:r>
        <w:rPr>
          <w:rFonts w:hint="eastAsia" w:ascii="仿宋" w:hAnsi="仿宋" w:cs="仿宋"/>
          <w:sz w:val="32"/>
        </w:rPr>
        <w:t>2.1.2中部加快崛起的机遇</w:t>
      </w:r>
      <w:bookmarkEnd w:id="70"/>
      <w:bookmarkEnd w:id="71"/>
      <w:bookmarkEnd w:id="72"/>
    </w:p>
    <w:p>
      <w:pPr>
        <w:ind w:firstLine="560"/>
      </w:pPr>
      <w:r>
        <w:rPr>
          <w:rFonts w:hint="eastAsia"/>
        </w:rPr>
        <w:t>十九届五中全会提出了“十四五”国家的区域发展战略，就包括中部加快崛起。中部地区崛起势头正劲，中部地区发展大有可为。要紧扣高质量发展要求，乘势而上，扎实工作，推动中部地区崛起再上新台阶。</w:t>
      </w:r>
    </w:p>
    <w:p>
      <w:pPr>
        <w:pStyle w:val="6"/>
        <w:ind w:firstLine="643"/>
        <w:rPr>
          <w:rFonts w:ascii="仿宋" w:hAnsi="仿宋" w:cs="仿宋"/>
          <w:sz w:val="32"/>
        </w:rPr>
      </w:pPr>
      <w:bookmarkStart w:id="73" w:name="_Toc22392"/>
      <w:bookmarkStart w:id="74" w:name="_Toc25840"/>
      <w:bookmarkStart w:id="75" w:name="_Toc27363"/>
      <w:r>
        <w:rPr>
          <w:rFonts w:hint="eastAsia" w:ascii="仿宋" w:hAnsi="仿宋" w:cs="仿宋"/>
          <w:sz w:val="32"/>
        </w:rPr>
        <w:t>2.1.3产业转移机遇</w:t>
      </w:r>
      <w:bookmarkEnd w:id="73"/>
      <w:bookmarkEnd w:id="74"/>
      <w:bookmarkEnd w:id="75"/>
    </w:p>
    <w:p>
      <w:pPr>
        <w:ind w:firstLine="560"/>
      </w:pPr>
      <w:r>
        <w:rPr>
          <w:rFonts w:hint="eastAsia"/>
        </w:rPr>
        <w:t>2018年11月，湖南省启动湘南湘西承接产业转移示范区建设，邵阳市被纳入其中。近2年来，邵阳市推进“沪昆（高速）百里工业走廊”和“135”工程升级版两个平台建设，不断优化营商环境，加大招商引资力度，全力建设示范区。隆回列入邵阳东部城市群战略范围，在承接沿海产业转移机遇中，可以更好的发挥区位、交通、资源优势。</w:t>
      </w:r>
    </w:p>
    <w:p>
      <w:pPr>
        <w:pStyle w:val="6"/>
        <w:ind w:firstLine="643"/>
        <w:rPr>
          <w:rFonts w:ascii="仿宋" w:hAnsi="仿宋" w:cs="仿宋"/>
          <w:sz w:val="32"/>
        </w:rPr>
      </w:pPr>
      <w:bookmarkStart w:id="76" w:name="_Toc2986"/>
      <w:bookmarkStart w:id="77" w:name="_Toc15149"/>
      <w:bookmarkStart w:id="78" w:name="_Toc7945"/>
      <w:r>
        <w:rPr>
          <w:rFonts w:hint="eastAsia" w:ascii="仿宋" w:hAnsi="仿宋" w:cs="仿宋"/>
          <w:sz w:val="32"/>
        </w:rPr>
        <w:t>2.1.4人口回流的机遇</w:t>
      </w:r>
      <w:bookmarkEnd w:id="76"/>
      <w:bookmarkEnd w:id="77"/>
      <w:bookmarkEnd w:id="78"/>
    </w:p>
    <w:p>
      <w:pPr>
        <w:ind w:firstLine="560"/>
      </w:pPr>
      <w:r>
        <w:rPr>
          <w:rFonts w:hint="eastAsia"/>
        </w:rPr>
        <w:t>过去30年主要是孔雀东南飞，人口大量流向珠三角，如今随着国家“西部开发战略”、“中部崛起战略”、“长江经济带战略”、“一带一路</w:t>
      </w:r>
      <w:r>
        <w:rPr>
          <w:rFonts w:hint="eastAsia"/>
          <w:lang w:eastAsia="zh-CN"/>
        </w:rPr>
        <w:t>”</w:t>
      </w:r>
      <w:r>
        <w:rPr>
          <w:rFonts w:hint="eastAsia"/>
          <w:lang w:val="en-US" w:eastAsia="zh-CN"/>
        </w:rPr>
        <w:t>倡议</w:t>
      </w:r>
      <w:r>
        <w:rPr>
          <w:rFonts w:hint="eastAsia"/>
        </w:rPr>
        <w:t>、“东盟自贸区战略”等一系列国家战略的推进，项目、产业和人才等一系列可移动经济要素开始回流。</w:t>
      </w:r>
    </w:p>
    <w:p>
      <w:pPr>
        <w:pStyle w:val="6"/>
        <w:ind w:firstLine="643"/>
        <w:rPr>
          <w:rFonts w:ascii="仿宋" w:hAnsi="仿宋" w:cs="仿宋"/>
          <w:sz w:val="32"/>
        </w:rPr>
      </w:pPr>
      <w:bookmarkStart w:id="79" w:name="_Toc28401"/>
      <w:bookmarkStart w:id="80" w:name="_Toc8177"/>
      <w:bookmarkStart w:id="81" w:name="_Toc1427"/>
      <w:r>
        <w:rPr>
          <w:rFonts w:hint="eastAsia" w:ascii="仿宋" w:hAnsi="仿宋" w:cs="仿宋"/>
          <w:sz w:val="32"/>
        </w:rPr>
        <w:t>2.1.5城乡一体化融合发展机遇</w:t>
      </w:r>
      <w:bookmarkEnd w:id="79"/>
      <w:bookmarkEnd w:id="80"/>
      <w:bookmarkEnd w:id="81"/>
    </w:p>
    <w:p>
      <w:pPr>
        <w:ind w:firstLine="560"/>
      </w:pPr>
      <w:r>
        <w:rPr>
          <w:rFonts w:hint="eastAsia"/>
        </w:rPr>
        <w:t>城市化进入后期，即进入城市有机更新和城乡人口双向流动时期，大规模的造城运动将结束，人口城市化进程将放缓，城市建设注重高质量发展。</w:t>
      </w:r>
      <w:bookmarkStart w:id="82" w:name="_Toc6453"/>
      <w:bookmarkStart w:id="83" w:name="_Toc28280"/>
      <w:bookmarkStart w:id="84" w:name="_Toc16753"/>
      <w:bookmarkStart w:id="85" w:name="_Toc15538"/>
      <w:r>
        <w:rPr>
          <w:rFonts w:hint="eastAsia"/>
        </w:rPr>
        <w:t>隆回县属于湖南省农业大县、人口大县，曾是国家扶贫开发工作重点县，全县实现脱贫摘帽后，巩固脱贫攻坚成效、提高农业转移人口市民化质量、推动城乡基础设施联动发展、公共服务设施一体化发展等成为脱贫后全面发展的重点，城乡融合发展达到新深度。必须充分借助国家对贫困地区、革命老区、少数民族地区的政策红利，加快推进城乡融合协同发展。</w:t>
      </w:r>
      <w:bookmarkEnd w:id="82"/>
      <w:bookmarkEnd w:id="83"/>
      <w:bookmarkEnd w:id="84"/>
      <w:bookmarkEnd w:id="85"/>
    </w:p>
    <w:p>
      <w:pPr>
        <w:pStyle w:val="6"/>
        <w:ind w:firstLine="643"/>
        <w:rPr>
          <w:rFonts w:ascii="仿宋" w:hAnsi="仿宋" w:cs="仿宋"/>
          <w:sz w:val="32"/>
        </w:rPr>
      </w:pPr>
      <w:bookmarkStart w:id="86" w:name="_Toc815"/>
      <w:bookmarkStart w:id="87" w:name="_Toc21648"/>
      <w:bookmarkStart w:id="88" w:name="_Toc16261"/>
      <w:r>
        <w:rPr>
          <w:rFonts w:hint="eastAsia" w:ascii="仿宋" w:hAnsi="仿宋" w:cs="仿宋"/>
          <w:sz w:val="32"/>
        </w:rPr>
        <w:t>2.1.6“</w:t>
      </w:r>
      <w:r>
        <w:rPr>
          <w:rFonts w:ascii="仿宋" w:hAnsi="仿宋" w:cs="仿宋"/>
          <w:sz w:val="32"/>
        </w:rPr>
        <w:t>二中心一枢纽</w:t>
      </w:r>
      <w:r>
        <w:rPr>
          <w:rFonts w:hint="eastAsia" w:ascii="仿宋" w:hAnsi="仿宋" w:cs="仿宋"/>
          <w:sz w:val="32"/>
        </w:rPr>
        <w:t>”战略机遇</w:t>
      </w:r>
      <w:bookmarkEnd w:id="86"/>
      <w:bookmarkEnd w:id="87"/>
      <w:bookmarkEnd w:id="88"/>
    </w:p>
    <w:p>
      <w:pPr>
        <w:ind w:firstLine="560"/>
      </w:pPr>
      <w:r>
        <w:rPr>
          <w:rFonts w:hint="eastAsia"/>
        </w:rPr>
        <w:t>湖南省区域发展规划提出构建大湘西板块发展战略，隆回是大湘西板块、武陵山片区和大湘南片区连接的桥头堡。邵阳实施“二中心一枢纽”发展战略，建设东部城市群，隆回县承担邵阳东西连接的“主导轴”。</w:t>
      </w:r>
    </w:p>
    <w:p>
      <w:pPr>
        <w:pStyle w:val="6"/>
        <w:ind w:firstLine="643"/>
        <w:rPr>
          <w:rFonts w:ascii="仿宋" w:hAnsi="仿宋" w:cs="仿宋"/>
          <w:sz w:val="32"/>
        </w:rPr>
      </w:pPr>
      <w:bookmarkStart w:id="89" w:name="_Toc11654"/>
      <w:bookmarkStart w:id="90" w:name="_Toc6425"/>
      <w:bookmarkStart w:id="91" w:name="_Toc29665"/>
      <w:r>
        <w:rPr>
          <w:rFonts w:hint="eastAsia" w:ascii="仿宋" w:hAnsi="仿宋" w:cs="仿宋"/>
          <w:sz w:val="32"/>
        </w:rPr>
        <w:t>2.1.7交通格局大升级带来的机遇</w:t>
      </w:r>
      <w:bookmarkEnd w:id="89"/>
      <w:bookmarkEnd w:id="90"/>
      <w:bookmarkEnd w:id="91"/>
    </w:p>
    <w:p>
      <w:pPr>
        <w:ind w:firstLine="560"/>
      </w:pPr>
      <w:r>
        <w:rPr>
          <w:rFonts w:hint="eastAsia"/>
        </w:rPr>
        <w:t>“十四五”期间，国家G59呼北高速新（化）新（宁）段及羊虎连接线、县城连接线将会全面建设竣工，东部城市群邵阳市连接隆回的西城快线也将开工建设，邵金高速进入规划，彻底改善困扰我县“南北梗阻、东西不畅”的交通瓶颈现实，加上县城在建的环城东路、环城南路、环城北路和县城内连接出口的一系列重要干线公里等相关重大交通项目的推进，将最为直接的拉动我县城镇建设发展。</w:t>
      </w:r>
    </w:p>
    <w:p>
      <w:pPr>
        <w:pStyle w:val="6"/>
        <w:ind w:firstLine="643"/>
        <w:rPr>
          <w:rFonts w:ascii="仿宋" w:hAnsi="仿宋" w:cs="仿宋"/>
          <w:sz w:val="32"/>
        </w:rPr>
      </w:pPr>
      <w:bookmarkStart w:id="92" w:name="_Toc15059"/>
      <w:bookmarkStart w:id="93" w:name="_Toc29909"/>
      <w:bookmarkStart w:id="94" w:name="_Toc22591"/>
      <w:r>
        <w:rPr>
          <w:rFonts w:hint="eastAsia" w:ascii="仿宋" w:hAnsi="仿宋" w:cs="仿宋"/>
          <w:sz w:val="32"/>
        </w:rPr>
        <w:t>2.1.8 县委县“135”战略的机遇</w:t>
      </w:r>
      <w:bookmarkEnd w:id="92"/>
      <w:bookmarkEnd w:id="93"/>
      <w:bookmarkEnd w:id="94"/>
    </w:p>
    <w:p>
      <w:pPr>
        <w:ind w:firstLine="560"/>
      </w:pPr>
      <w:r>
        <w:rPr>
          <w:rFonts w:hint="eastAsia"/>
        </w:rPr>
        <w:t>按照县委县政府提出的“一计划三个样板五个创建”的“135”战略，着力推进经济结构调整和产业转型升级、推动基础设施提档升级、强化生态文明建设，建立健全生态文明制度体系，加快构建现代环境治理体系，完善现代经济体系和治理体系，积极创建国家级卫生县城、国家生态文明示范县、省级文明县城、省级森林城市、全省全域旅游示范县，致力打造贫困地区创新发展样板、湘中地区奋发赶超样板、城乡融合协同发展样板，加快构建普惠共享民生发展新格局，奋力建设富饶美丽幸福新隆回。</w:t>
      </w:r>
    </w:p>
    <w:p>
      <w:pPr>
        <w:pStyle w:val="5"/>
        <w:ind w:firstLine="643"/>
      </w:pPr>
      <w:bookmarkStart w:id="95" w:name="_Toc29749"/>
      <w:bookmarkStart w:id="96" w:name="_Toc3792"/>
      <w:bookmarkStart w:id="97" w:name="_Toc24767"/>
      <w:bookmarkStart w:id="98" w:name="_Toc13783"/>
      <w:bookmarkStart w:id="99" w:name="_Toc22124"/>
      <w:r>
        <w:rPr>
          <w:rFonts w:hint="eastAsia"/>
        </w:rPr>
        <w:t>第二节 建设挑战</w:t>
      </w:r>
      <w:bookmarkEnd w:id="95"/>
      <w:bookmarkEnd w:id="96"/>
      <w:bookmarkEnd w:id="97"/>
      <w:bookmarkEnd w:id="98"/>
      <w:bookmarkEnd w:id="99"/>
    </w:p>
    <w:p>
      <w:pPr>
        <w:pStyle w:val="6"/>
        <w:ind w:firstLine="643"/>
        <w:rPr>
          <w:rFonts w:ascii="仿宋" w:hAnsi="仿宋" w:cs="仿宋"/>
          <w:sz w:val="32"/>
        </w:rPr>
      </w:pPr>
      <w:bookmarkStart w:id="100" w:name="_Toc6812"/>
      <w:bookmarkStart w:id="101" w:name="_Toc279"/>
      <w:bookmarkStart w:id="102" w:name="_Toc17135"/>
      <w:r>
        <w:rPr>
          <w:rFonts w:hint="eastAsia" w:ascii="仿宋" w:hAnsi="仿宋" w:cs="仿宋"/>
          <w:sz w:val="32"/>
        </w:rPr>
        <w:t>2.2.1思想观念的挑战</w:t>
      </w:r>
      <w:bookmarkEnd w:id="100"/>
      <w:bookmarkEnd w:id="101"/>
      <w:bookmarkEnd w:id="102"/>
    </w:p>
    <w:p>
      <w:pPr>
        <w:ind w:firstLine="560"/>
      </w:pPr>
      <w:bookmarkStart w:id="103" w:name="_Toc12070"/>
      <w:bookmarkStart w:id="104" w:name="_Toc29344"/>
      <w:bookmarkStart w:id="105" w:name="_Toc11788"/>
      <w:r>
        <w:rPr>
          <w:rFonts w:hint="eastAsia"/>
        </w:rPr>
        <w:t>按照隆回县委经济工作会议上领导的评价，隆回的政治生态、干部作风、发展环境的问题依然比较突出。没有思想大解放、作风大转变、效能大提升，再好的蓝图也只是一个梦。</w:t>
      </w:r>
      <w:bookmarkEnd w:id="103"/>
      <w:bookmarkEnd w:id="104"/>
      <w:bookmarkEnd w:id="105"/>
    </w:p>
    <w:p>
      <w:pPr>
        <w:pStyle w:val="6"/>
        <w:ind w:firstLine="643"/>
        <w:rPr>
          <w:rFonts w:ascii="仿宋" w:hAnsi="仿宋" w:cs="仿宋"/>
          <w:sz w:val="32"/>
        </w:rPr>
      </w:pPr>
      <w:bookmarkStart w:id="106" w:name="_Toc18475"/>
      <w:bookmarkStart w:id="107" w:name="_Toc15002"/>
      <w:bookmarkStart w:id="108" w:name="_Toc12998"/>
      <w:r>
        <w:rPr>
          <w:rFonts w:hint="eastAsia" w:ascii="仿宋" w:hAnsi="仿宋" w:cs="仿宋"/>
          <w:sz w:val="32"/>
        </w:rPr>
        <w:t>2.2.2产业经济的挑战</w:t>
      </w:r>
      <w:bookmarkEnd w:id="106"/>
      <w:bookmarkEnd w:id="107"/>
      <w:bookmarkEnd w:id="108"/>
    </w:p>
    <w:p>
      <w:pPr>
        <w:ind w:firstLine="560"/>
      </w:pPr>
      <w:r>
        <w:rPr>
          <w:rFonts w:hint="eastAsia"/>
        </w:rPr>
        <w:t>缺乏支柱产业，缺乏龙头带动，缺乏经济活力，缺乏高新产业，这是隆回经济的基本状态。产业培植是城镇建设的灵魂，产业发展是城镇建设的动力，产业升级是城镇建设的内核。产业兴才有城镇兴，产业强才有城市强。</w:t>
      </w:r>
    </w:p>
    <w:p>
      <w:pPr>
        <w:pStyle w:val="6"/>
        <w:ind w:firstLine="643"/>
        <w:rPr>
          <w:rFonts w:ascii="仿宋" w:hAnsi="仿宋" w:cs="仿宋"/>
          <w:sz w:val="32"/>
        </w:rPr>
      </w:pPr>
      <w:bookmarkStart w:id="109" w:name="_Toc4514"/>
      <w:bookmarkStart w:id="110" w:name="_Toc14319"/>
      <w:bookmarkStart w:id="111" w:name="_Toc20130"/>
      <w:r>
        <w:rPr>
          <w:rFonts w:hint="eastAsia" w:ascii="仿宋" w:hAnsi="仿宋" w:cs="仿宋"/>
          <w:sz w:val="32"/>
        </w:rPr>
        <w:t>2.2.3转型发展的挑战</w:t>
      </w:r>
      <w:bookmarkEnd w:id="109"/>
      <w:bookmarkEnd w:id="110"/>
      <w:bookmarkEnd w:id="111"/>
    </w:p>
    <w:p>
      <w:pPr>
        <w:ind w:firstLine="560"/>
      </w:pPr>
      <w:bookmarkStart w:id="112" w:name="_Toc15187"/>
      <w:bookmarkStart w:id="113" w:name="_Toc8013"/>
      <w:bookmarkStart w:id="114" w:name="_Toc15638"/>
      <w:bookmarkStart w:id="115" w:name="_Toc19863"/>
      <w:r>
        <w:rPr>
          <w:rFonts w:hint="eastAsia"/>
        </w:rPr>
        <w:t>人的美好生活所需，就是城市发展所趋，如何让不同人群公平地分享实现城镇化所带来的红利，提高城市的宜居性，实现城市发展方式的转型，是“新常态”下城市规划亟需探索的现实问题。城市规划是城市建设和发展的先导和灵魂，是城市的“火车头”，其与国计民生相互捆绑。改革开放以来，中国经历了世界历史上规模最大、速度最快的城镇化进程，城市发展波澜壮阔，取得了举世瞩目的成就。在新常态下，城市发展的大转型，必然向高质量发展、双循环拉动、智能化管理、规范化运行的趋势，为中小城市和县乡城镇发展带来新的挑战。</w:t>
      </w:r>
      <w:bookmarkEnd w:id="112"/>
      <w:bookmarkEnd w:id="113"/>
      <w:bookmarkEnd w:id="114"/>
      <w:bookmarkEnd w:id="115"/>
    </w:p>
    <w:p>
      <w:pPr>
        <w:ind w:firstLine="0" w:firstLineChars="0"/>
      </w:pPr>
    </w:p>
    <w:p>
      <w:pPr>
        <w:ind w:firstLine="0" w:firstLineChars="0"/>
      </w:pPr>
      <w:bookmarkStart w:id="116" w:name="_Toc22292"/>
      <w:bookmarkStart w:id="117" w:name="_Toc13148"/>
      <w:bookmarkStart w:id="118" w:name="_Toc32625"/>
      <w:bookmarkStart w:id="119" w:name="_Toc28587"/>
    </w:p>
    <w:p>
      <w:pPr>
        <w:pStyle w:val="2"/>
      </w:pPr>
    </w:p>
    <w:p>
      <w:pPr>
        <w:pStyle w:val="3"/>
      </w:pPr>
    </w:p>
    <w:p>
      <w:pPr>
        <w:pStyle w:val="3"/>
      </w:pPr>
    </w:p>
    <w:p>
      <w:pPr>
        <w:pStyle w:val="3"/>
      </w:pPr>
    </w:p>
    <w:p>
      <w:pPr>
        <w:pStyle w:val="3"/>
      </w:pPr>
    </w:p>
    <w:p>
      <w:pPr>
        <w:pStyle w:val="3"/>
      </w:pPr>
    </w:p>
    <w:p>
      <w:pPr>
        <w:pStyle w:val="3"/>
      </w:pPr>
    </w:p>
    <w:p>
      <w:pPr>
        <w:pStyle w:val="4"/>
        <w:ind w:firstLine="883"/>
      </w:pPr>
      <w:bookmarkStart w:id="120" w:name="_Toc24724"/>
      <w:r>
        <w:rPr>
          <w:rFonts w:hint="eastAsia"/>
        </w:rPr>
        <w:t xml:space="preserve">第三章 </w:t>
      </w:r>
      <w:bookmarkEnd w:id="116"/>
      <w:bookmarkEnd w:id="117"/>
      <w:bookmarkEnd w:id="118"/>
      <w:bookmarkEnd w:id="119"/>
      <w:r>
        <w:rPr>
          <w:rFonts w:hint="eastAsia"/>
        </w:rPr>
        <w:t>指导思想与规划目标</w:t>
      </w:r>
      <w:bookmarkEnd w:id="120"/>
    </w:p>
    <w:p>
      <w:pPr>
        <w:pStyle w:val="5"/>
        <w:ind w:firstLine="643"/>
      </w:pPr>
      <w:bookmarkStart w:id="121" w:name="_Toc2499"/>
      <w:bookmarkStart w:id="122" w:name="_Toc21473"/>
      <w:bookmarkStart w:id="123" w:name="_Toc19725"/>
      <w:bookmarkStart w:id="124" w:name="_Toc4685"/>
      <w:bookmarkStart w:id="125" w:name="_Toc20706"/>
      <w:r>
        <w:rPr>
          <w:rFonts w:hint="eastAsia"/>
        </w:rPr>
        <w:t>第一节 指导思想</w:t>
      </w:r>
      <w:bookmarkEnd w:id="121"/>
      <w:bookmarkEnd w:id="122"/>
      <w:bookmarkEnd w:id="123"/>
      <w:bookmarkEnd w:id="124"/>
      <w:bookmarkEnd w:id="125"/>
    </w:p>
    <w:p>
      <w:pPr>
        <w:ind w:firstLine="560"/>
      </w:pPr>
      <w:r>
        <w:rPr>
          <w:rFonts w:hint="eastAsia"/>
        </w:rPr>
        <w:t xml:space="preserve"> 以党的十九大和十九届二中、三中、四中、五中全会精神为指导，树立“创新、协调、绿色、开放、共享”的发展理念，以人的城镇化为核心，以产业发展为基础、城镇规划为龙头、项目建设为重点、城市管理为保障，推动人口向城镇、产业向园区、居住向社区、土地向规模经营集中，努力实现产业就业、规划设计、基础设施、公共服务、生态环境、文化体系的城乡统筹一体化发展，增强城市承载能力，提升城市品味品质，全力打造“绿色、生态、舒缓、宜居、美丽、智慧”具有湘西南特色的山水园林城市。按照“补短板、抓提升、强管理”的总体思路，以项目建设为重点，精细化管理为保障，统筹城乡发展、改善民生，丰富城市元素、完善城市功能、提升城市品质，通过城市双修等工作推动供给侧结构性改革，促进城市发展和管理模式转型，塑造整洁、美丽、精致的城市环境，着力将隆回建成宜居宜业的精美城市。</w:t>
      </w:r>
    </w:p>
    <w:p>
      <w:pPr>
        <w:pStyle w:val="5"/>
        <w:ind w:firstLine="643"/>
      </w:pPr>
      <w:bookmarkStart w:id="126" w:name="_Toc16897"/>
      <w:bookmarkStart w:id="127" w:name="_Toc14906"/>
      <w:bookmarkStart w:id="128" w:name="_Toc4411"/>
      <w:bookmarkStart w:id="129" w:name="_Toc7564"/>
      <w:bookmarkStart w:id="130" w:name="_Toc5931"/>
      <w:r>
        <w:rPr>
          <w:rFonts w:hint="eastAsia"/>
        </w:rPr>
        <w:t>第二节 基本原则</w:t>
      </w:r>
      <w:bookmarkEnd w:id="126"/>
      <w:bookmarkEnd w:id="127"/>
      <w:bookmarkEnd w:id="128"/>
      <w:bookmarkEnd w:id="129"/>
      <w:bookmarkEnd w:id="130"/>
    </w:p>
    <w:p>
      <w:pPr>
        <w:pStyle w:val="6"/>
        <w:ind w:firstLine="643"/>
        <w:rPr>
          <w:rFonts w:ascii="仿宋" w:hAnsi="仿宋" w:cs="仿宋"/>
          <w:sz w:val="32"/>
        </w:rPr>
      </w:pPr>
      <w:bookmarkStart w:id="131" w:name="_Toc26018"/>
      <w:bookmarkStart w:id="132" w:name="_Toc19124"/>
      <w:bookmarkStart w:id="133" w:name="_Toc16796"/>
      <w:r>
        <w:rPr>
          <w:rFonts w:hint="eastAsia" w:ascii="仿宋" w:hAnsi="仿宋" w:cs="仿宋"/>
          <w:sz w:val="32"/>
        </w:rPr>
        <w:t>3.2.1坚持以人民为中心原则</w:t>
      </w:r>
      <w:bookmarkEnd w:id="131"/>
      <w:bookmarkEnd w:id="132"/>
      <w:bookmarkEnd w:id="133"/>
    </w:p>
    <w:p>
      <w:pPr>
        <w:ind w:firstLine="560"/>
      </w:pPr>
      <w:r>
        <w:rPr>
          <w:rFonts w:hint="eastAsia"/>
        </w:rPr>
        <w:t>坚持以人民为中心。坚持人民主体地位，坚持共同富裕方向，始终做到发展为了人民、发展依靠人民、发展成果由人民共享，维护人民根本利益，激发全体人民积极性、主动性、创造性，促进社会公平，增进民生福祉，不断实现人民对美好生活的向往。新型城市化就是要围绕以人民为中心，激发全体人民积极性、主动性、创造性。</w:t>
      </w:r>
    </w:p>
    <w:p>
      <w:pPr>
        <w:pStyle w:val="6"/>
        <w:ind w:firstLine="643"/>
        <w:rPr>
          <w:rFonts w:ascii="仿宋" w:hAnsi="仿宋" w:cs="仿宋"/>
          <w:sz w:val="32"/>
        </w:rPr>
      </w:pPr>
      <w:r>
        <w:rPr>
          <w:rFonts w:hint="eastAsia" w:ascii="仿宋" w:hAnsi="仿宋" w:cs="仿宋"/>
          <w:sz w:val="32"/>
        </w:rPr>
        <w:t>3.2.2坚持新发展原则</w:t>
      </w:r>
    </w:p>
    <w:p>
      <w:pPr>
        <w:ind w:firstLine="560"/>
      </w:pPr>
      <w:r>
        <w:rPr>
          <w:rFonts w:hint="eastAsia"/>
        </w:rPr>
        <w:t>要把新发展理念贯穿城市发展的全过程和各领域，构建新发展格局，切实转变发展方式，推动质量变革、效率变革、动力变革，实现更高质量、更有效率、更加公平、更可持续、更为安全的发展。新发展的原则就是要实现市民化与城镇化同步发展，既要实现城市规模的增长，同时要实现进城人员的市民化。</w:t>
      </w:r>
    </w:p>
    <w:p>
      <w:pPr>
        <w:pStyle w:val="6"/>
        <w:ind w:firstLine="643"/>
        <w:rPr>
          <w:rFonts w:ascii="仿宋" w:hAnsi="仿宋" w:cs="仿宋"/>
          <w:sz w:val="32"/>
        </w:rPr>
      </w:pPr>
      <w:r>
        <w:rPr>
          <w:rFonts w:hint="eastAsia" w:ascii="仿宋" w:hAnsi="仿宋" w:cs="仿宋"/>
          <w:sz w:val="32"/>
        </w:rPr>
        <w:t>3.2.3坚持高质量发展原则</w:t>
      </w:r>
    </w:p>
    <w:p>
      <w:pPr>
        <w:ind w:firstLine="560"/>
      </w:pPr>
      <w:r>
        <w:rPr>
          <w:rFonts w:hint="eastAsia"/>
        </w:rPr>
        <w:t>既要提高城市发展的质量，还要提高城市发展的品质，实现产城联动，注重城市产业化发展。</w:t>
      </w:r>
    </w:p>
    <w:p>
      <w:pPr>
        <w:pStyle w:val="6"/>
        <w:ind w:firstLine="643"/>
        <w:rPr>
          <w:rFonts w:ascii="仿宋" w:hAnsi="仿宋" w:cs="仿宋"/>
          <w:sz w:val="32"/>
        </w:rPr>
      </w:pPr>
      <w:r>
        <w:rPr>
          <w:rFonts w:hint="eastAsia" w:ascii="仿宋" w:hAnsi="仿宋" w:cs="仿宋"/>
          <w:sz w:val="32"/>
        </w:rPr>
        <w:t>3.2.4坚持统筹发展原则</w:t>
      </w:r>
    </w:p>
    <w:p>
      <w:pPr>
        <w:ind w:firstLine="560"/>
      </w:pPr>
      <w:r>
        <w:rPr>
          <w:rFonts w:hint="eastAsia"/>
        </w:rPr>
        <w:t>城乡同步推进，平衡发展，坚持统筹城乡发展的原则：合理布局城镇化格局，形成新型城乡关系。</w:t>
      </w:r>
    </w:p>
    <w:p>
      <w:pPr>
        <w:pStyle w:val="6"/>
        <w:ind w:firstLine="643"/>
        <w:rPr>
          <w:rFonts w:ascii="仿宋" w:hAnsi="仿宋" w:cs="仿宋"/>
          <w:sz w:val="32"/>
        </w:rPr>
      </w:pPr>
      <w:r>
        <w:rPr>
          <w:rFonts w:hint="eastAsia" w:ascii="仿宋" w:hAnsi="仿宋" w:cs="仿宋"/>
          <w:sz w:val="32"/>
        </w:rPr>
        <w:t>3.2.5坚持五位一体原则</w:t>
      </w:r>
    </w:p>
    <w:p>
      <w:pPr>
        <w:ind w:firstLine="560"/>
      </w:pPr>
      <w:r>
        <w:rPr>
          <w:rFonts w:hint="eastAsia"/>
        </w:rPr>
        <w:t>立足城市长远规划，必须更加自觉地把全面协调可持续作为深入贯彻落实科学发展观的基本要求，全面落实经济建设、政治建设、文化建设、社会建设、生态文明建设五位一体总体布局，促进现代化建设各方面相协调。</w:t>
      </w:r>
    </w:p>
    <w:p>
      <w:pPr>
        <w:pStyle w:val="6"/>
        <w:ind w:firstLine="643"/>
        <w:rPr>
          <w:rFonts w:ascii="仿宋" w:hAnsi="仿宋" w:cs="仿宋"/>
          <w:sz w:val="32"/>
        </w:rPr>
      </w:pPr>
      <w:r>
        <w:rPr>
          <w:rFonts w:hint="eastAsia" w:ascii="仿宋" w:hAnsi="仿宋" w:cs="仿宋"/>
          <w:sz w:val="32"/>
        </w:rPr>
        <w:t>3.2.6坚持生态保护优先原则</w:t>
      </w:r>
    </w:p>
    <w:p>
      <w:pPr>
        <w:ind w:firstLine="560"/>
        <w:rPr>
          <w:rFonts w:ascii="仿宋" w:hAnsi="仿宋" w:cs="仿宋"/>
          <w:sz w:val="32"/>
          <w:szCs w:val="32"/>
        </w:rPr>
      </w:pPr>
      <w:r>
        <w:rPr>
          <w:rFonts w:hint="eastAsia"/>
        </w:rPr>
        <w:t>全面提升城镇发展的可持续性，降低资源消耗，加强生态环境建设，统筹推进城乡建设、城市管理、住房发展、房地产市场调控、建筑业改革等领域的重大战略问题。</w:t>
      </w:r>
    </w:p>
    <w:p>
      <w:pPr>
        <w:pStyle w:val="5"/>
        <w:ind w:firstLine="643"/>
      </w:pPr>
      <w:bookmarkStart w:id="134" w:name="_Toc11838"/>
      <w:bookmarkStart w:id="135" w:name="_Toc13345"/>
      <w:bookmarkStart w:id="136" w:name="_Toc28126"/>
      <w:bookmarkStart w:id="137" w:name="_Toc30331"/>
      <w:bookmarkStart w:id="138" w:name="_Toc2916"/>
      <w:r>
        <w:rPr>
          <w:rFonts w:hint="eastAsia"/>
        </w:rPr>
        <w:t>第三节 战略定位</w:t>
      </w:r>
      <w:bookmarkEnd w:id="134"/>
      <w:bookmarkEnd w:id="135"/>
      <w:bookmarkEnd w:id="136"/>
      <w:bookmarkEnd w:id="137"/>
      <w:bookmarkEnd w:id="138"/>
    </w:p>
    <w:p>
      <w:pPr>
        <w:pStyle w:val="3"/>
        <w:snapToGrid/>
        <w:ind w:firstLine="630" w:firstLineChars="196"/>
        <w:rPr>
          <w:rFonts w:ascii="Times New Roman" w:hAnsi="Times New Roman" w:eastAsia="仿宋"/>
        </w:rPr>
      </w:pPr>
      <w:r>
        <w:rPr>
          <w:rFonts w:hint="eastAsia" w:eastAsia="仿宋" w:cs="宋体"/>
          <w:b/>
          <w:kern w:val="0"/>
          <w:sz w:val="32"/>
          <w:szCs w:val="36"/>
        </w:rPr>
        <w:t>区域发展战略定位。</w:t>
      </w:r>
      <w:r>
        <w:rPr>
          <w:rFonts w:hint="eastAsia" w:ascii="Times New Roman" w:hAnsi="Times New Roman" w:eastAsia="仿宋"/>
        </w:rPr>
        <w:t>通过“十四五”乃至今后十五年的努力，将隆回打造成“武陵山片区发展门户”、“湘西南区域发展次中心”、“邵阳市一核一群一圈的桥头堡”，加快构建现代环境治理体系，完善现代经济体系，积极创建国家级卫生县城、国家生态文明示范县、省级文明县城、省级森林城市、全省全域旅游示范县，致力打造贫困地区创新发展样板、湘中地区奋发赶超样板、城乡融合协同发展样板，加快构建普惠共享民生发展新格局，奋力建设富饶美丽幸福新隆回。</w:t>
      </w:r>
    </w:p>
    <w:p>
      <w:pPr>
        <w:pStyle w:val="34"/>
        <w:spacing w:line="560" w:lineRule="exact"/>
        <w:ind w:firstLine="630" w:firstLineChars="196"/>
        <w:rPr>
          <w:shd w:val="clear" w:color="auto" w:fill="FFFFFF"/>
        </w:rPr>
      </w:pPr>
      <w:r>
        <w:rPr>
          <w:rFonts w:hint="eastAsia" w:cs="宋体"/>
          <w:b/>
          <w:bCs/>
          <w:kern w:val="0"/>
          <w:sz w:val="32"/>
          <w:szCs w:val="36"/>
        </w:rPr>
        <w:t>空间规模战略定位。</w:t>
      </w:r>
      <w:r>
        <w:rPr>
          <w:rFonts w:hint="eastAsia"/>
        </w:rPr>
        <w:t>按照县委</w:t>
      </w:r>
      <w:r>
        <w:rPr>
          <w:rFonts w:hint="eastAsia"/>
          <w:lang w:val="en-US" w:eastAsia="zh-CN"/>
        </w:rPr>
        <w:t>县</w:t>
      </w:r>
      <w:r>
        <w:rPr>
          <w:rFonts w:hint="eastAsia"/>
        </w:rPr>
        <w:t>政府近年来一贯坚持的城镇发展策略，实施“北拓南提、东进西展”战略，</w:t>
      </w:r>
      <w:r>
        <w:rPr>
          <w:szCs w:val="30"/>
        </w:rPr>
        <w:t>着力优化县城功能布局，构建“</w:t>
      </w:r>
      <w:r>
        <w:rPr>
          <w:rFonts w:hint="eastAsia"/>
          <w:szCs w:val="30"/>
        </w:rPr>
        <w:t>一</w:t>
      </w:r>
      <w:r>
        <w:rPr>
          <w:szCs w:val="30"/>
        </w:rPr>
        <w:t>带两轴</w:t>
      </w:r>
      <w:r>
        <w:rPr>
          <w:rFonts w:hint="eastAsia"/>
          <w:szCs w:val="30"/>
        </w:rPr>
        <w:t>五组团</w:t>
      </w:r>
      <w:r>
        <w:rPr>
          <w:szCs w:val="30"/>
        </w:rPr>
        <w:t>”现代化新城美好蓝图。“</w:t>
      </w:r>
      <w:r>
        <w:rPr>
          <w:rFonts w:hint="eastAsia"/>
          <w:szCs w:val="30"/>
        </w:rPr>
        <w:t>一</w:t>
      </w:r>
      <w:r>
        <w:rPr>
          <w:szCs w:val="30"/>
        </w:rPr>
        <w:t>带”即资江赧水、伏龙江沿江城区风光带，围绕赧水、伏龙江两岸建设</w:t>
      </w:r>
      <w:bookmarkStart w:id="252" w:name="_GoBack"/>
      <w:bookmarkEnd w:id="252"/>
      <w:r>
        <w:rPr>
          <w:szCs w:val="30"/>
        </w:rPr>
        <w:t>城市休闲景观设施，打造城市生活带、生态廊道和旅游景观通道。“两轴”即以桃洪路、九龙路、隆回大道为主的东西向发展轴，连接县城东工业区、城中生活区和城西文化区；以伏龙江路、兴隆大道、魏源大道等为主的南北向发展轴</w:t>
      </w:r>
      <w:r>
        <w:rPr>
          <w:rFonts w:hint="eastAsia"/>
          <w:szCs w:val="30"/>
        </w:rPr>
        <w:t>，</w:t>
      </w:r>
      <w:r>
        <w:rPr>
          <w:szCs w:val="30"/>
        </w:rPr>
        <w:t>连接老城区、城北新区。“</w:t>
      </w:r>
      <w:r>
        <w:rPr>
          <w:rFonts w:hint="eastAsia"/>
          <w:szCs w:val="30"/>
        </w:rPr>
        <w:t>五组团</w:t>
      </w:r>
      <w:r>
        <w:rPr>
          <w:szCs w:val="30"/>
        </w:rPr>
        <w:t>”即老城区、城北政治商贸核心区、城南商贸物流新区、城西文化教育集聚区、城东工业集聚区。</w:t>
      </w:r>
    </w:p>
    <w:p>
      <w:pPr>
        <w:pStyle w:val="3"/>
        <w:snapToGrid/>
        <w:ind w:firstLine="643"/>
      </w:pPr>
      <w:r>
        <w:rPr>
          <w:rFonts w:hint="eastAsia" w:eastAsia="仿宋" w:cs="宋体"/>
          <w:b/>
          <w:bCs/>
          <w:kern w:val="0"/>
          <w:sz w:val="32"/>
          <w:szCs w:val="36"/>
        </w:rPr>
        <w:t>新老城区发展定位。</w:t>
      </w:r>
      <w:r>
        <w:rPr>
          <w:rFonts w:hint="eastAsia"/>
        </w:rPr>
        <w:t>坚持新老城区统筹发展、协调发展、同步发展、差异发展、互补发展，老城区注重提质改造，新城区注重功能完善。</w:t>
      </w:r>
    </w:p>
    <w:p>
      <w:pPr>
        <w:pStyle w:val="5"/>
        <w:ind w:firstLine="643"/>
      </w:pPr>
      <w:bookmarkStart w:id="139" w:name="_Toc6082"/>
      <w:bookmarkStart w:id="140" w:name="_Toc11075"/>
      <w:bookmarkStart w:id="141" w:name="_Toc15666"/>
      <w:bookmarkStart w:id="142" w:name="_Toc5056"/>
      <w:bookmarkStart w:id="143" w:name="_Toc14488"/>
      <w:r>
        <w:rPr>
          <w:rFonts w:hint="eastAsia"/>
        </w:rPr>
        <w:t>第四节 总体目标</w:t>
      </w:r>
      <w:bookmarkEnd w:id="139"/>
      <w:bookmarkEnd w:id="140"/>
      <w:bookmarkEnd w:id="141"/>
      <w:bookmarkEnd w:id="142"/>
      <w:bookmarkEnd w:id="143"/>
      <w:bookmarkStart w:id="144" w:name="_Toc10161"/>
      <w:bookmarkStart w:id="145" w:name="_Toc28542"/>
      <w:bookmarkStart w:id="146" w:name="_Toc31859"/>
    </w:p>
    <w:p>
      <w:pPr>
        <w:pStyle w:val="6"/>
        <w:ind w:firstLine="562"/>
        <w:rPr>
          <w:rFonts w:ascii="仿宋" w:hAnsi="仿宋" w:cs="仿宋"/>
        </w:rPr>
      </w:pPr>
      <w:r>
        <w:rPr>
          <w:rFonts w:hint="eastAsia"/>
        </w:rPr>
        <w:t>3.4.1 定性目标</w:t>
      </w:r>
      <w:bookmarkEnd w:id="144"/>
      <w:bookmarkEnd w:id="145"/>
      <w:bookmarkEnd w:id="146"/>
    </w:p>
    <w:p>
      <w:pPr>
        <w:ind w:firstLine="560"/>
      </w:pPr>
      <w:r>
        <w:rPr>
          <w:rFonts w:hint="eastAsia"/>
        </w:rPr>
        <w:t>以新型城镇化为目标，通过“十四五”期间的努力，把我县打造成特色鲜明、功能完善、生态优美、宜居宜业的美丽县城，扎实推进交通基础设施、城镇污水处理、排水防涝、河道整治等基础设施建设，改善基础设施条件，带动县城提质改造，突出抓好硬化、畅化、绿化、亮化、净化、文化、产业化等建设，让县城更宜居。推广互联网、大数据、人口智能等信息技术手段，促进城市治理制度、模式、手段创新，推动智慧城市建设。着力于“三个转向”推进城市功能定位更清晰，城市宜居环境更美丽，城市基础设施更完善，城市管理模式更智慧，城乡融合发展更协调，城市品质形象更提升。</w:t>
      </w:r>
    </w:p>
    <w:p>
      <w:pPr>
        <w:spacing w:line="560" w:lineRule="exact"/>
        <w:ind w:firstLine="643"/>
        <w:rPr>
          <w:rFonts w:ascii="宋体" w:hAnsi="宋体" w:cs="宋体"/>
          <w:bCs/>
          <w:kern w:val="0"/>
          <w:szCs w:val="28"/>
        </w:rPr>
      </w:pPr>
      <w:r>
        <w:rPr>
          <w:rFonts w:hint="eastAsia" w:ascii="宋体" w:hAnsi="宋体" w:cs="宋体"/>
          <w:b/>
          <w:kern w:val="0"/>
          <w:sz w:val="32"/>
          <w:szCs w:val="36"/>
        </w:rPr>
        <w:t>城镇建设转向高质量发展。</w:t>
      </w:r>
      <w:r>
        <w:rPr>
          <w:rFonts w:hint="eastAsia" w:ascii="宋体" w:hAnsi="宋体" w:cs="宋体"/>
          <w:bCs/>
          <w:kern w:val="0"/>
          <w:szCs w:val="28"/>
        </w:rPr>
        <w:t>实施城市更新行动，推进城镇生态修复、功能完善工程，统筹城市规划、建设、管理，合理确定城镇规模、人口密度、空间结构，促进县城和乡镇统筹协调发展。强化历史文化保护、塑造城镇风貌，加强城镇老旧小区改造和社区建设，增强城镇防洪排涝能力，建设海绵城镇、韧性城镇。老旧小区按照小康生活水平和现代家庭生活标准进行全面彻底改造，新区建设按照“统一规划、合理布局、因地制宜、综合开发、功能配套”的原则，提升绿地建设、托幼场所、文体设施、出入通道、充电桩、停车场等公共设施配套水平，对日照标准、房间间距、建筑布局、环境空间等元素进行合理设计，推进高端小区建设。</w:t>
      </w:r>
    </w:p>
    <w:p>
      <w:pPr>
        <w:spacing w:line="560" w:lineRule="exact"/>
        <w:ind w:firstLine="643"/>
      </w:pPr>
      <w:r>
        <w:rPr>
          <w:rFonts w:hint="eastAsia" w:ascii="宋体" w:hAnsi="宋体" w:cs="宋体"/>
          <w:b/>
          <w:kern w:val="0"/>
          <w:sz w:val="32"/>
          <w:szCs w:val="36"/>
        </w:rPr>
        <w:t>城镇管理转向精细化发展。</w:t>
      </w:r>
      <w:r>
        <w:rPr>
          <w:rFonts w:hint="eastAsia" w:ascii="宋体" w:hAnsi="宋体" w:cs="宋体"/>
          <w:bCs/>
          <w:kern w:val="0"/>
          <w:szCs w:val="32"/>
        </w:rPr>
        <w:t>以市民为中心，以宜业宜居为导向，以服务为抓手，建设数字城镇。智慧城镇建设的数据体系、技术体系、业务体系、应用体系、产业体系、基础设施体系、标准体系和安全体系进行架构设计：数据体系，包括开展对数据资源架构、数据服务和数据治理的设计；技术体系搭建，指支撑智慧城市建设的技术平台；业务体系，指分析业务提供方、业务服务对象、业务渠道等方面；应用体系，指对应用系统、功能模块进行设计；产业体系，指要提出重点发展的城市智慧产业；基础设施体系，指对物联感知层、网络通信层、计算与存储层，数据与服务融合层的基础设施进行设计；标准体系，指对智慧城市总体基础，支撑技术、基础设施、管理服务和产业等标准进行设计；安全体系，指对网络和信息安全提出安全技术、安全管理的相关规章制度和标准规范。</w:t>
      </w:r>
    </w:p>
    <w:p>
      <w:pPr>
        <w:spacing w:line="560" w:lineRule="exact"/>
        <w:ind w:firstLine="643"/>
      </w:pPr>
      <w:r>
        <w:rPr>
          <w:rFonts w:hint="eastAsia" w:ascii="宋体" w:hAnsi="宋体" w:cs="宋体"/>
          <w:b/>
          <w:kern w:val="0"/>
          <w:sz w:val="32"/>
          <w:szCs w:val="36"/>
        </w:rPr>
        <w:t>城乡环境转向宜居宜业发展。</w:t>
      </w:r>
      <w:r>
        <w:rPr>
          <w:rFonts w:hint="eastAsia"/>
        </w:rPr>
        <w:t>能耗、水耗、地耗以及二氧化碳排放得到有效控制，主要污染物排放持续减少，城镇污水处理率、生活垃圾无害化处理率、垃圾分类处置率持续上升，城区绿地覆盖率、人均绿地和公园面积大幅提升，空气污染指数、水源达标率持续上升，细颗粒物（PM2.5）浓度下降、单位GDP能源消耗降低、单位GDP用水量下降、单位GDP二氧化碳排放减少等指标100%达到要求。统筹山水林田湖草一体化保护和修复机制基本形成，生态安全保障体系质量进一步提升，绿色生产方式和生活方式加快形成。到2025年，空气质量优良率达92%以上，达到或优于Ⅲ类水体占地表水比例100%，主要污染物排放总量降幅完成市下达任务。</w:t>
      </w:r>
    </w:p>
    <w:p>
      <w:pPr>
        <w:pStyle w:val="6"/>
        <w:ind w:firstLine="643"/>
        <w:rPr>
          <w:rFonts w:ascii="仿宋" w:hAnsi="仿宋" w:cs="仿宋"/>
          <w:sz w:val="32"/>
        </w:rPr>
      </w:pPr>
      <w:bookmarkStart w:id="147" w:name="_Toc26964"/>
      <w:bookmarkStart w:id="148" w:name="_Toc24664"/>
      <w:bookmarkStart w:id="149" w:name="_Toc21636"/>
      <w:r>
        <w:rPr>
          <w:rFonts w:hint="eastAsia" w:ascii="仿宋" w:hAnsi="仿宋" w:cs="仿宋"/>
          <w:sz w:val="32"/>
        </w:rPr>
        <w:t>3.4.2 主要经济指标</w:t>
      </w:r>
      <w:bookmarkEnd w:id="147"/>
      <w:bookmarkEnd w:id="148"/>
      <w:bookmarkEnd w:id="149"/>
    </w:p>
    <w:p>
      <w:pPr>
        <w:ind w:firstLine="640"/>
      </w:pPr>
      <w:r>
        <w:rPr>
          <w:rFonts w:hint="eastAsia" w:ascii="宋体" w:hAnsi="宋体" w:cs="宋体"/>
          <w:bCs/>
          <w:kern w:val="0"/>
          <w:sz w:val="32"/>
          <w:szCs w:val="36"/>
        </w:rPr>
        <w:t xml:space="preserve">          </w:t>
      </w:r>
      <w:r>
        <w:rPr>
          <w:rFonts w:hint="eastAsia" w:ascii="微软雅黑" w:hAnsi="微软雅黑" w:eastAsia="微软雅黑" w:cs="微软雅黑"/>
          <w:b/>
          <w:kern w:val="0"/>
          <w:szCs w:val="32"/>
        </w:rPr>
        <w:t>表1 隆回县“十四五”城建发展主要目标</w:t>
      </w:r>
    </w:p>
    <w:tbl>
      <w:tblPr>
        <w:tblStyle w:val="23"/>
        <w:tblW w:w="8817" w:type="dxa"/>
        <w:tblInd w:w="0" w:type="dxa"/>
        <w:tblLayout w:type="autofit"/>
        <w:tblCellMar>
          <w:top w:w="0" w:type="dxa"/>
          <w:left w:w="0" w:type="dxa"/>
          <w:bottom w:w="0" w:type="dxa"/>
          <w:right w:w="0" w:type="dxa"/>
        </w:tblCellMar>
      </w:tblPr>
      <w:tblGrid>
        <w:gridCol w:w="1384"/>
        <w:gridCol w:w="4075"/>
        <w:gridCol w:w="1086"/>
        <w:gridCol w:w="1086"/>
        <w:gridCol w:w="1186"/>
      </w:tblGrid>
      <w:tr>
        <w:tblPrEx>
          <w:tblCellMar>
            <w:top w:w="0" w:type="dxa"/>
            <w:left w:w="0" w:type="dxa"/>
            <w:bottom w:w="0" w:type="dxa"/>
            <w:right w:w="0" w:type="dxa"/>
          </w:tblCellMar>
        </w:tblPrEx>
        <w:trPr>
          <w:trHeight w:val="595" w:hRule="atLeast"/>
        </w:trPr>
        <w:tc>
          <w:tcPr>
            <w:tcW w:w="8817" w:type="dxa"/>
            <w:gridSpan w:val="5"/>
            <w:tcBorders>
              <w:top w:val="single" w:color="9BBB59" w:sz="8" w:space="0"/>
              <w:left w:val="single" w:color="9BBB59" w:sz="8" w:space="0"/>
              <w:bottom w:val="single" w:color="FFFFFF" w:sz="18" w:space="0"/>
              <w:right w:val="single" w:color="9BBB59" w:sz="8" w:space="0"/>
            </w:tcBorders>
            <w:shd w:val="clear" w:color="auto" w:fill="9BBB59"/>
            <w:noWrap/>
            <w:tcMar>
              <w:top w:w="15" w:type="dxa"/>
              <w:left w:w="15" w:type="dxa"/>
              <w:right w:w="15" w:type="dxa"/>
            </w:tcMar>
            <w:vAlign w:val="center"/>
          </w:tcPr>
          <w:p>
            <w:pPr>
              <w:widowControl/>
              <w:ind w:firstLine="482"/>
              <w:jc w:val="center"/>
              <w:textAlignment w:val="center"/>
              <w:rPr>
                <w:rFonts w:ascii="宋体" w:hAnsi="宋体" w:eastAsia="宋体" w:cs="宋体"/>
                <w:b/>
                <w:color w:val="FFFFFF"/>
                <w:sz w:val="24"/>
              </w:rPr>
            </w:pPr>
            <w:r>
              <w:rPr>
                <w:rFonts w:hint="eastAsia" w:ascii="宋体" w:hAnsi="宋体" w:eastAsia="宋体" w:cs="宋体"/>
                <w:b/>
                <w:color w:val="FFFFFF"/>
                <w:kern w:val="0"/>
                <w:sz w:val="24"/>
                <w:lang w:bidi="ar"/>
              </w:rPr>
              <w:t>隆回县“十四五”城镇发展主要指标</w:t>
            </w:r>
          </w:p>
        </w:tc>
      </w:tr>
      <w:tr>
        <w:tblPrEx>
          <w:tblCellMar>
            <w:top w:w="0" w:type="dxa"/>
            <w:left w:w="0" w:type="dxa"/>
            <w:bottom w:w="0" w:type="dxa"/>
            <w:right w:w="0" w:type="dxa"/>
          </w:tblCellMar>
        </w:tblPrEx>
        <w:trPr>
          <w:trHeight w:val="540" w:hRule="atLeast"/>
        </w:trPr>
        <w:tc>
          <w:tcPr>
            <w:tcW w:w="0" w:type="auto"/>
            <w:tcBorders>
              <w:top w:val="single" w:color="FFFFFF" w:sz="1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类别</w:t>
            </w:r>
          </w:p>
        </w:tc>
        <w:tc>
          <w:tcPr>
            <w:tcW w:w="0" w:type="auto"/>
            <w:tcBorders>
              <w:top w:val="single" w:color="FFFFFF" w:sz="1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指标名称</w:t>
            </w:r>
          </w:p>
        </w:tc>
        <w:tc>
          <w:tcPr>
            <w:tcW w:w="1086" w:type="dxa"/>
            <w:tcBorders>
              <w:top w:val="single" w:color="FFFFFF" w:sz="18" w:space="0"/>
              <w:left w:val="single" w:color="9BBB59" w:sz="8" w:space="0"/>
              <w:bottom w:val="single" w:color="9BBB59" w:sz="8" w:space="0"/>
              <w:right w:val="single" w:color="9BBB59" w:sz="8" w:space="0"/>
            </w:tcBorders>
            <w:shd w:val="clear" w:color="auto" w:fill="D7E3BC"/>
            <w:tcMar>
              <w:top w:w="15" w:type="dxa"/>
              <w:left w:w="15" w:type="dxa"/>
              <w:right w:w="15" w:type="dxa"/>
            </w:tcMar>
            <w:vAlign w:val="center"/>
          </w:tcPr>
          <w:p>
            <w:pPr>
              <w:widowControl/>
              <w:ind w:firstLine="0" w:firstLineChars="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“十三五”</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规划完成值</w:t>
            </w:r>
          </w:p>
        </w:tc>
        <w:tc>
          <w:tcPr>
            <w:tcW w:w="1086" w:type="dxa"/>
            <w:tcBorders>
              <w:top w:val="single" w:color="FFFFFF" w:sz="18" w:space="0"/>
              <w:left w:val="single" w:color="9BBB59" w:sz="8" w:space="0"/>
              <w:bottom w:val="single" w:color="9BBB59" w:sz="8" w:space="0"/>
              <w:right w:val="single" w:color="9BBB59" w:sz="8" w:space="0"/>
            </w:tcBorders>
            <w:shd w:val="clear" w:color="auto" w:fill="D7E3BC"/>
            <w:tcMar>
              <w:top w:w="15" w:type="dxa"/>
              <w:left w:w="15" w:type="dxa"/>
              <w:right w:w="15" w:type="dxa"/>
            </w:tcMar>
            <w:vAlign w:val="center"/>
          </w:tcPr>
          <w:p>
            <w:pPr>
              <w:widowControl/>
              <w:ind w:firstLine="0" w:firstLineChars="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“十四五”</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规划目标值</w:t>
            </w:r>
          </w:p>
        </w:tc>
        <w:tc>
          <w:tcPr>
            <w:tcW w:w="0" w:type="auto"/>
            <w:tcBorders>
              <w:top w:val="single" w:color="FFFFFF" w:sz="1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属性</w:t>
            </w:r>
          </w:p>
        </w:tc>
      </w:tr>
      <w:tr>
        <w:tblPrEx>
          <w:tblCellMar>
            <w:top w:w="0" w:type="dxa"/>
            <w:left w:w="0" w:type="dxa"/>
            <w:bottom w:w="0" w:type="dxa"/>
            <w:right w:w="0" w:type="dxa"/>
          </w:tblCellMar>
        </w:tblPrEx>
        <w:trPr>
          <w:trHeight w:val="300" w:hRule="atLeast"/>
        </w:trPr>
        <w:tc>
          <w:tcPr>
            <w:tcW w:w="0" w:type="auto"/>
            <w:vMerge w:val="restart"/>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综合指标</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sz w:val="20"/>
                <w:szCs w:val="20"/>
              </w:rPr>
              <w:t>全县城镇建成区面积（</w:t>
            </w:r>
            <w:r>
              <w:rPr>
                <w:rFonts w:hint="eastAsia" w:ascii="宋体" w:hAnsi="宋体" w:eastAsia="宋体" w:cs="宋体"/>
                <w:color w:val="000000"/>
                <w:kern w:val="0"/>
                <w:sz w:val="20"/>
                <w:szCs w:val="20"/>
                <w:lang w:bidi="ar"/>
              </w:rPr>
              <w:t>km</w:t>
            </w:r>
            <w:r>
              <w:rPr>
                <w:rStyle w:val="72"/>
                <w:rFonts w:hint="default"/>
                <w:lang w:bidi="ar"/>
              </w:rPr>
              <w:t>2</w:t>
            </w:r>
            <w:r>
              <w:rPr>
                <w:rFonts w:hint="eastAsia" w:ascii="宋体" w:hAnsi="宋体" w:eastAsia="宋体" w:cs="宋体"/>
                <w:color w:val="000000"/>
                <w:sz w:val="20"/>
                <w:szCs w:val="20"/>
              </w:rPr>
              <w:t>）</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81.31</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100</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预期性</w:t>
            </w:r>
          </w:p>
        </w:tc>
      </w:tr>
      <w:tr>
        <w:tblPrEx>
          <w:tblCellMar>
            <w:top w:w="0" w:type="dxa"/>
            <w:left w:w="0" w:type="dxa"/>
            <w:bottom w:w="0" w:type="dxa"/>
            <w:right w:w="0" w:type="dxa"/>
          </w:tblCellMar>
        </w:tblPrEx>
        <w:trPr>
          <w:trHeight w:val="300" w:hRule="atLeast"/>
        </w:trPr>
        <w:tc>
          <w:tcPr>
            <w:tcW w:w="0" w:type="auto"/>
            <w:vMerge w:val="continue"/>
            <w:tcBorders>
              <w:left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kern w:val="0"/>
                <w:sz w:val="20"/>
                <w:szCs w:val="20"/>
                <w:lang w:bidi="ar"/>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县城建成区规模（km</w:t>
            </w:r>
            <w:r>
              <w:rPr>
                <w:rStyle w:val="72"/>
                <w:rFonts w:hint="default"/>
                <w:lang w:bidi="ar"/>
              </w:rPr>
              <w:t>2</w:t>
            </w:r>
            <w:r>
              <w:rPr>
                <w:rStyle w:val="73"/>
                <w:rFonts w:hint="default"/>
                <w:lang w:bidi="ar"/>
              </w:rPr>
              <w:t>）</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27.17</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40</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kern w:val="0"/>
                <w:sz w:val="20"/>
                <w:szCs w:val="20"/>
                <w:lang w:bidi="ar"/>
              </w:rPr>
            </w:pP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全县城镇人口（万人）</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54.64</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65</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预期性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县城城区人口（万人））</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25</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40</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预期性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城镇化率（%）</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45.2</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50</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预期性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城镇居民可支配收入（元）</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28449</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45000</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预期性</w:t>
            </w:r>
          </w:p>
        </w:tc>
      </w:tr>
      <w:tr>
        <w:tblPrEx>
          <w:tblCellMar>
            <w:top w:w="0" w:type="dxa"/>
            <w:left w:w="0" w:type="dxa"/>
            <w:bottom w:w="0" w:type="dxa"/>
            <w:right w:w="0" w:type="dxa"/>
          </w:tblCellMar>
        </w:tblPrEx>
        <w:trPr>
          <w:trHeight w:val="300" w:hRule="atLeast"/>
        </w:trPr>
        <w:tc>
          <w:tcPr>
            <w:tcW w:w="0" w:type="auto"/>
            <w:vMerge w:val="restart"/>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城镇管理</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城市污水处理率（%）</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87.8</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&gt;95</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约束性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生活垃圾无害化处理率（%）</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65</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&gt;90</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约束性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生活垃圾分类处置率（%）</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15</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&gt;65</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约束性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危险废弃物处理率（%）</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60</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100</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约束性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物流通畅率（%）</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55</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&gt;75</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预期性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住房保障率（%）</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75</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&gt;95</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约束性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城市登记人口再就业率（%）</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&gt;70</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约束性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环境保护投资指数</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0.88</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&gt;2.0</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约束性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公共场所公益广告数量比率（%）</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&gt;20</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预期性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大型建筑和公共场所停车场配置率（%）</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&gt;85</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预期性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大型建筑和公共场所充电桩配置率（%）</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&gt;85</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预期性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城市公交车分担率（%）</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&gt;15</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预期性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公众对城市卫生满意率</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&gt;75</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预期性</w:t>
            </w:r>
          </w:p>
        </w:tc>
      </w:tr>
      <w:tr>
        <w:tblPrEx>
          <w:tblCellMar>
            <w:top w:w="0" w:type="dxa"/>
            <w:left w:w="0" w:type="dxa"/>
            <w:bottom w:w="0" w:type="dxa"/>
            <w:right w:w="0" w:type="dxa"/>
          </w:tblCellMar>
        </w:tblPrEx>
        <w:trPr>
          <w:trHeight w:val="300" w:hRule="atLeast"/>
        </w:trPr>
        <w:tc>
          <w:tcPr>
            <w:tcW w:w="0" w:type="auto"/>
            <w:vMerge w:val="restart"/>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城镇宜居</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建成区绿地覆盖率（%）</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25</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&gt;35</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约束性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城镇人均公共绿地（m</w:t>
            </w:r>
            <w:r>
              <w:rPr>
                <w:rStyle w:val="72"/>
                <w:rFonts w:hint="default"/>
                <w:lang w:bidi="ar"/>
              </w:rPr>
              <w:t>2</w:t>
            </w:r>
            <w:r>
              <w:rPr>
                <w:rStyle w:val="73"/>
                <w:rFonts w:hint="default"/>
                <w:lang w:bidi="ar"/>
              </w:rPr>
              <w:t>）</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9.68</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&gt;10</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约束性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城镇人均公园面积（m</w:t>
            </w:r>
            <w:r>
              <w:rPr>
                <w:rStyle w:val="72"/>
                <w:rFonts w:hint="default"/>
                <w:lang w:bidi="ar"/>
              </w:rPr>
              <w:t>)</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3.5</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&gt;8</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约束性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城区空气污染指数（全年API指数）</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&gt;92</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约束性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烟尘控制区覆盖率（%）</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&gt;90</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约束性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环境噪声达标区覆盖率（%）</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&gt;70</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约束性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城镇水域功能区水质达标率（%）</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&gt;100</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约束性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城镇水域功能区室内无劣质Ⅴ类水</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无</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约束性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人均公共设施用地</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&gt;8.8</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约束性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人均公共文化体育设施用地</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&gt;1.5</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约束性</w:t>
            </w:r>
          </w:p>
        </w:tc>
      </w:tr>
      <w:tr>
        <w:tblPrEx>
          <w:tblCellMar>
            <w:top w:w="0" w:type="dxa"/>
            <w:left w:w="0" w:type="dxa"/>
            <w:bottom w:w="0" w:type="dxa"/>
            <w:right w:w="0" w:type="dxa"/>
          </w:tblCellMar>
        </w:tblPrEx>
        <w:trPr>
          <w:trHeight w:val="300" w:hRule="atLeast"/>
        </w:trPr>
        <w:tc>
          <w:tcPr>
            <w:tcW w:w="0" w:type="auto"/>
            <w:vMerge w:val="restart"/>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城镇建设</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五年建筑总产值累计（万元）</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r>
              <w:rPr>
                <w:rFonts w:hint="eastAsia" w:ascii="宋体" w:hAnsi="宋体" w:eastAsia="宋体" w:cs="宋体"/>
                <w:color w:val="000000"/>
                <w:sz w:val="20"/>
                <w:szCs w:val="20"/>
              </w:rPr>
              <w:t>126</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150</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预期性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房地产销售面积累计（万m</w:t>
            </w:r>
            <w:r>
              <w:rPr>
                <w:rStyle w:val="72"/>
                <w:rFonts w:hint="default"/>
                <w:lang w:bidi="ar"/>
              </w:rPr>
              <w:t>2</w:t>
            </w:r>
            <w:r>
              <w:rPr>
                <w:rStyle w:val="73"/>
                <w:rFonts w:hint="default"/>
                <w:lang w:bidi="ar"/>
              </w:rPr>
              <w:t>）</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ind w:firstLine="400"/>
              <w:jc w:val="center"/>
              <w:rPr>
                <w:rFonts w:ascii="宋体" w:hAnsi="宋体" w:eastAsia="宋体" w:cs="宋体"/>
                <w:color w:val="000000"/>
                <w:sz w:val="20"/>
                <w:szCs w:val="20"/>
              </w:rPr>
            </w:pPr>
            <w:r>
              <w:rPr>
                <w:rFonts w:hint="eastAsia" w:ascii="宋体" w:hAnsi="宋体" w:eastAsia="宋体" w:cs="宋体"/>
                <w:color w:val="000000"/>
                <w:sz w:val="20"/>
                <w:szCs w:val="20"/>
              </w:rPr>
              <w:t>260</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350</w:t>
            </w:r>
          </w:p>
        </w:tc>
        <w:tc>
          <w:tcPr>
            <w:tcW w:w="0" w:type="auto"/>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预期性</w:t>
            </w:r>
          </w:p>
        </w:tc>
      </w:tr>
      <w:tr>
        <w:tblPrEx>
          <w:tblCellMar>
            <w:top w:w="0" w:type="dxa"/>
            <w:left w:w="0" w:type="dxa"/>
            <w:bottom w:w="0" w:type="dxa"/>
            <w:right w:w="0" w:type="dxa"/>
          </w:tblCellMar>
        </w:tblPrEx>
        <w:trPr>
          <w:trHeight w:val="300" w:hRule="atLeast"/>
        </w:trPr>
        <w:tc>
          <w:tcPr>
            <w:tcW w:w="0" w:type="auto"/>
            <w:vMerge w:val="continue"/>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房地产业总投资累计（亿元）</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ind w:firstLine="400"/>
              <w:jc w:val="center"/>
              <w:rPr>
                <w:rFonts w:ascii="宋体" w:hAnsi="宋体" w:eastAsia="宋体" w:cs="宋体"/>
                <w:color w:val="000000"/>
                <w:sz w:val="20"/>
                <w:szCs w:val="20"/>
              </w:rPr>
            </w:pPr>
            <w:r>
              <w:rPr>
                <w:rFonts w:hint="eastAsia" w:ascii="宋体" w:hAnsi="宋体" w:eastAsia="宋体" w:cs="宋体"/>
                <w:color w:val="000000"/>
                <w:sz w:val="20"/>
                <w:szCs w:val="20"/>
              </w:rPr>
              <w:t>42</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&gt;75</w:t>
            </w:r>
          </w:p>
        </w:tc>
        <w:tc>
          <w:tcPr>
            <w:tcW w:w="0" w:type="auto"/>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预期性</w:t>
            </w:r>
          </w:p>
        </w:tc>
      </w:tr>
    </w:tbl>
    <w:p>
      <w:pPr>
        <w:ind w:firstLine="560"/>
      </w:pPr>
      <w:r>
        <w:rPr>
          <w:rFonts w:hint="eastAsia"/>
        </w:rPr>
        <w:t>“十四五”建设，2025年，全县城镇建成区面积扩大到100平方公里，其中县城建成区面积扩大到40平方公里，城镇人口扩大到65万人，其中县城人口扩大到40万人，城镇污水处理率达到95%以上，生活垃圾无害化处理率达到90%以上，建成区绿地覆盖率达到35%以上，城镇人均绿地面积达到10平米以上。</w:t>
      </w:r>
    </w:p>
    <w:p>
      <w:pPr>
        <w:pStyle w:val="5"/>
        <w:ind w:firstLine="643"/>
      </w:pPr>
      <w:bookmarkStart w:id="150" w:name="_Toc7036"/>
      <w:r>
        <w:rPr>
          <w:rFonts w:hint="eastAsia"/>
        </w:rPr>
        <w:t>第五节 远景展望</w:t>
      </w:r>
      <w:bookmarkEnd w:id="150"/>
    </w:p>
    <w:p>
      <w:pPr>
        <w:ind w:firstLine="560"/>
      </w:pPr>
      <w:r>
        <w:rPr>
          <w:rFonts w:hint="eastAsia"/>
        </w:rPr>
        <w:t>隆回城镇建设的远景目标是，建设成宜居宜业创新型中型城市。经过15年的发展建设，到2035年，将隆回城镇培育和打造成为具有特色鲜明的产业形态、和谐宜居的美丽环境、彰显特色的传统文化、便捷完善的设施服务、充满活力的体制机制新型城市，集中消费产业聚集区、新型城镇化发展区、自然民俗旅游景点密集区三区合一、产城融合、城乡一体化的平衡发展的复合型城市。</w:t>
      </w:r>
    </w:p>
    <w:p>
      <w:pPr>
        <w:ind w:firstLine="560"/>
      </w:pPr>
      <w:r>
        <w:rPr>
          <w:rFonts w:hint="eastAsia"/>
        </w:rPr>
        <w:t>支柱产业培育壮大，形成一两个在全国范围有影响力的、有影响力的支柱产业，成为经济发展的强劲引擎。传统特色文化和现代文明深度融合，特色彰显，建成独具特色的文旅产业。基础设施配套完善，县域内建成高铁、高速、机场、航运相补充的立体交通网络。县城各类主题公园达到10个，人均绿地、人均公园面积达到15平米，城北创新新城全面完成，县城建成区面积扩大到50平方公里，县城常住人口扩大到50万，撤县建市取得成功。</w:t>
      </w:r>
    </w:p>
    <w:p>
      <w:pPr>
        <w:pStyle w:val="2"/>
        <w:ind w:firstLine="480"/>
        <w:rPr>
          <w:vertAlign w:val="superscript"/>
        </w:rPr>
        <w:sectPr>
          <w:footerReference r:id="rId11" w:type="default"/>
          <w:pgSz w:w="11906" w:h="16838"/>
          <w:pgMar w:top="1020" w:right="1418" w:bottom="1020" w:left="1701" w:header="851" w:footer="992" w:gutter="0"/>
          <w:pgNumType w:start="1"/>
          <w:cols w:space="720" w:num="1"/>
          <w:docGrid w:type="lines" w:linePitch="312" w:charSpace="0"/>
        </w:sectPr>
      </w:pPr>
    </w:p>
    <w:p>
      <w:pPr>
        <w:pStyle w:val="4"/>
        <w:ind w:firstLine="883"/>
      </w:pPr>
      <w:bookmarkStart w:id="151" w:name="_Toc18648"/>
      <w:bookmarkStart w:id="152" w:name="_Toc7667"/>
      <w:bookmarkStart w:id="153" w:name="_Toc11750"/>
      <w:bookmarkStart w:id="154" w:name="_Toc11915"/>
      <w:bookmarkStart w:id="155" w:name="_Toc23760"/>
      <w:r>
        <w:rPr>
          <w:rFonts w:hint="eastAsia"/>
        </w:rPr>
        <w:t>第四章 功能布局</w:t>
      </w:r>
      <w:bookmarkEnd w:id="151"/>
      <w:bookmarkEnd w:id="152"/>
      <w:bookmarkEnd w:id="153"/>
      <w:bookmarkEnd w:id="154"/>
      <w:bookmarkEnd w:id="155"/>
    </w:p>
    <w:p>
      <w:pPr>
        <w:pStyle w:val="5"/>
        <w:ind w:firstLine="643"/>
      </w:pPr>
      <w:bookmarkStart w:id="156" w:name="_Toc6696"/>
      <w:bookmarkStart w:id="157" w:name="_Toc23507"/>
      <w:bookmarkStart w:id="158" w:name="_Toc11036"/>
      <w:bookmarkStart w:id="159" w:name="_Toc28572"/>
      <w:bookmarkStart w:id="160" w:name="_Toc23748"/>
      <w:r>
        <w:rPr>
          <w:rFonts w:hint="eastAsia"/>
        </w:rPr>
        <w:t>第一节 总体布局</w:t>
      </w:r>
      <w:bookmarkEnd w:id="156"/>
      <w:bookmarkEnd w:id="157"/>
      <w:bookmarkEnd w:id="158"/>
      <w:bookmarkEnd w:id="159"/>
      <w:bookmarkEnd w:id="160"/>
    </w:p>
    <w:p>
      <w:pPr>
        <w:pStyle w:val="6"/>
        <w:ind w:firstLine="643"/>
        <w:rPr>
          <w:rFonts w:ascii="仿宋" w:hAnsi="仿宋" w:cs="仿宋"/>
          <w:sz w:val="32"/>
        </w:rPr>
      </w:pPr>
      <w:bookmarkStart w:id="161" w:name="_Toc2611"/>
      <w:bookmarkStart w:id="162" w:name="_Toc24311"/>
      <w:bookmarkStart w:id="163" w:name="_Toc14492"/>
      <w:r>
        <w:rPr>
          <w:rFonts w:hint="eastAsia" w:ascii="仿宋" w:hAnsi="仿宋" w:cs="仿宋"/>
          <w:sz w:val="32"/>
        </w:rPr>
        <w:t>4.1.1原则</w:t>
      </w:r>
      <w:bookmarkEnd w:id="161"/>
      <w:bookmarkEnd w:id="162"/>
      <w:bookmarkEnd w:id="163"/>
      <w:r>
        <w:rPr>
          <w:rFonts w:hint="eastAsia" w:ascii="仿宋" w:hAnsi="仿宋" w:cs="仿宋"/>
          <w:sz w:val="32"/>
        </w:rPr>
        <w:t xml:space="preserve">  </w:t>
      </w:r>
    </w:p>
    <w:p>
      <w:pPr>
        <w:ind w:firstLine="560"/>
      </w:pPr>
      <w:r>
        <w:rPr>
          <w:rFonts w:hint="eastAsia"/>
        </w:rPr>
        <w:t>县城总体布局是县城的社会、经济、环境以及工程技术与建筑空间组合的综合反映。城市总体布局是通过城市主要用地组成的不同形态表现出来的。对于城市的历史演变和现状存在的问题、自然和技术经济条件的分析、城市中各种生产和生活活动规律的分析，包括各项用地的功能组织、市政工程设施的配置以及城市艺术风貌的探求，都涉及到城市的总体布局。</w:t>
      </w:r>
    </w:p>
    <w:p>
      <w:pPr>
        <w:tabs>
          <w:tab w:val="left" w:pos="312"/>
        </w:tabs>
        <w:ind w:firstLine="560"/>
      </w:pPr>
      <w:r>
        <w:rPr>
          <w:rFonts w:hint="eastAsia"/>
        </w:rPr>
        <w:t>按集群方式布置工业企业，形成城市工业区；按高端居住区、现代居住小区、老城改造区等组成梯级布置，形成城市生活居住区；配合城市各功能要素，组织城市绿化系统，建立各级休憩与游乐场所，形成城镇生态功能区；组织公共建筑群，形成城市的公共活动中心体系；按交通性质和交通速度，划分城市道路的类别，形成城市道路交通体系。</w:t>
      </w:r>
    </w:p>
    <w:p>
      <w:pPr>
        <w:pStyle w:val="6"/>
        <w:ind w:firstLine="643"/>
        <w:rPr>
          <w:rFonts w:ascii="仿宋" w:hAnsi="仿宋" w:cs="仿宋"/>
          <w:sz w:val="32"/>
        </w:rPr>
      </w:pPr>
      <w:bookmarkStart w:id="164" w:name="_Toc4024"/>
      <w:bookmarkStart w:id="165" w:name="_Toc24152"/>
      <w:bookmarkStart w:id="166" w:name="_Toc3111"/>
      <w:r>
        <w:rPr>
          <w:rFonts w:hint="eastAsia" w:ascii="仿宋" w:hAnsi="仿宋" w:cs="仿宋"/>
          <w:sz w:val="32"/>
        </w:rPr>
        <w:t>4.1.2 城镇布局思路</w:t>
      </w:r>
    </w:p>
    <w:p>
      <w:pPr>
        <w:ind w:firstLine="560"/>
      </w:pPr>
      <w:r>
        <w:rPr>
          <w:rFonts w:hint="eastAsia"/>
        </w:rPr>
        <w:t>充分考虑城镇人口规模、交通区位、资源禀赋和产业发展趋势，以</w:t>
      </w:r>
      <w:r>
        <w:t>G320</w:t>
      </w:r>
      <w:r>
        <w:rPr>
          <w:rFonts w:hint="eastAsia"/>
        </w:rPr>
        <w:t>、</w:t>
      </w:r>
      <w:r>
        <w:t>S322</w:t>
      </w:r>
      <w:r>
        <w:rPr>
          <w:rFonts w:hint="eastAsia"/>
        </w:rPr>
        <w:t>、</w:t>
      </w:r>
      <w:r>
        <w:t>S219</w:t>
      </w:r>
      <w:r>
        <w:rPr>
          <w:rFonts w:hint="eastAsia"/>
        </w:rPr>
        <w:t>、</w:t>
      </w:r>
      <w:r>
        <w:t>G356</w:t>
      </w:r>
      <w:r>
        <w:rPr>
          <w:rFonts w:hint="eastAsia"/>
        </w:rPr>
        <w:t>、G</w:t>
      </w:r>
      <w:r>
        <w:t>59</w:t>
      </w:r>
      <w:r>
        <w:rPr>
          <w:rFonts w:hint="eastAsia"/>
        </w:rPr>
        <w:t>呼北高速等国省干道为发展主轴，突出以县城为核心的城镇建设，通过县城带动南部城镇群发展，加强中部、北部城镇群的建设，打造金石桥镇县域副中心，建设呼北高速沿线金石桥、羊古坳、六都寨、荷香桥等四个互通为重点的特色城镇产业带，形成产业突出、经贸活跃、特色明显、辐射强劲的大镇，促进南北协同发展，形成</w:t>
      </w:r>
      <w:r>
        <w:t>“</w:t>
      </w:r>
      <w:r>
        <w:rPr>
          <w:rFonts w:hint="eastAsia"/>
        </w:rPr>
        <w:t>一核一副两特色、八个重点十个培育</w:t>
      </w:r>
      <w:r>
        <w:t>”</w:t>
      </w:r>
      <w:r>
        <w:rPr>
          <w:rFonts w:hint="eastAsia"/>
        </w:rPr>
        <w:t>联动发展的城镇空间布局。</w:t>
      </w:r>
    </w:p>
    <w:tbl>
      <w:tblPr>
        <w:tblStyle w:val="23"/>
        <w:tblW w:w="8775" w:type="dxa"/>
        <w:jc w:val="center"/>
        <w:tblLayout w:type="fixed"/>
        <w:tblCellMar>
          <w:top w:w="0" w:type="dxa"/>
          <w:left w:w="108" w:type="dxa"/>
          <w:bottom w:w="0" w:type="dxa"/>
          <w:right w:w="108" w:type="dxa"/>
        </w:tblCellMar>
      </w:tblPr>
      <w:tblGrid>
        <w:gridCol w:w="8775"/>
      </w:tblGrid>
      <w:tr>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562"/>
              <w:jc w:val="center"/>
              <w:rPr>
                <w:rFonts w:eastAsia="楷体_GB2312"/>
                <w:b/>
                <w:bCs/>
                <w:kern w:val="0"/>
                <w:szCs w:val="28"/>
              </w:rPr>
            </w:pPr>
            <w:r>
              <w:rPr>
                <w:rFonts w:hint="eastAsia" w:eastAsia="楷体"/>
                <w:b/>
                <w:bCs/>
                <w:kern w:val="0"/>
                <w:szCs w:val="28"/>
              </w:rPr>
              <w:t>专栏1</w:t>
            </w:r>
            <w:r>
              <w:rPr>
                <w:rFonts w:eastAsia="楷体"/>
                <w:b/>
                <w:bCs/>
                <w:kern w:val="0"/>
                <w:szCs w:val="28"/>
              </w:rPr>
              <w:t xml:space="preserve">  </w:t>
            </w:r>
            <w:r>
              <w:rPr>
                <w:rFonts w:hint="eastAsia" w:eastAsia="楷体"/>
                <w:b/>
                <w:bCs/>
                <w:kern w:val="0"/>
                <w:szCs w:val="28"/>
              </w:rPr>
              <w:t>城镇空间布局</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360" w:lineRule="exact"/>
              <w:ind w:firstLine="422"/>
              <w:rPr>
                <w:rFonts w:eastAsia="楷体"/>
                <w:sz w:val="21"/>
                <w:szCs w:val="21"/>
                <w:shd w:val="clear" w:color="auto" w:fill="FFFFFF"/>
              </w:rPr>
            </w:pPr>
            <w:r>
              <w:rPr>
                <w:rFonts w:eastAsia="楷体"/>
                <w:b/>
                <w:bCs/>
                <w:sz w:val="21"/>
                <w:szCs w:val="21"/>
                <w:shd w:val="clear" w:color="auto" w:fill="FFFFFF"/>
              </w:rPr>
              <w:t>“</w:t>
            </w:r>
            <w:r>
              <w:rPr>
                <w:rFonts w:hint="eastAsia" w:eastAsia="楷体"/>
                <w:b/>
                <w:bCs/>
                <w:sz w:val="21"/>
                <w:szCs w:val="21"/>
                <w:shd w:val="clear" w:color="auto" w:fill="FFFFFF"/>
              </w:rPr>
              <w:t>一核</w:t>
            </w:r>
            <w:r>
              <w:rPr>
                <w:rFonts w:eastAsia="楷体"/>
                <w:b/>
                <w:bCs/>
                <w:sz w:val="21"/>
                <w:szCs w:val="21"/>
                <w:shd w:val="clear" w:color="auto" w:fill="FFFFFF"/>
              </w:rPr>
              <w:t>”</w:t>
            </w:r>
            <w:r>
              <w:rPr>
                <w:rFonts w:hint="eastAsia" w:eastAsia="楷体"/>
                <w:b/>
                <w:bCs/>
                <w:sz w:val="21"/>
                <w:szCs w:val="21"/>
                <w:shd w:val="clear" w:color="auto" w:fill="FFFFFF"/>
              </w:rPr>
              <w:t>。</w:t>
            </w:r>
            <w:r>
              <w:rPr>
                <w:rFonts w:hint="eastAsia" w:eastAsia="楷体"/>
                <w:sz w:val="21"/>
                <w:szCs w:val="21"/>
                <w:shd w:val="clear" w:color="auto" w:fill="FFFFFF"/>
              </w:rPr>
              <w:t>即县城，包括桃花坪街道、花门街道，打造全县政治、经济、文化核心。以县城为核心带动北山镇、三阁司镇等县城周边城镇联动发展。</w:t>
            </w:r>
          </w:p>
          <w:p>
            <w:pPr>
              <w:spacing w:line="360" w:lineRule="exact"/>
              <w:ind w:firstLine="422"/>
              <w:rPr>
                <w:rFonts w:eastAsia="楷体"/>
                <w:sz w:val="21"/>
                <w:szCs w:val="21"/>
                <w:shd w:val="clear" w:color="auto" w:fill="FFFFFF"/>
              </w:rPr>
            </w:pPr>
            <w:r>
              <w:rPr>
                <w:rFonts w:eastAsia="楷体"/>
                <w:b/>
                <w:bCs/>
                <w:sz w:val="21"/>
                <w:szCs w:val="21"/>
                <w:shd w:val="clear" w:color="auto" w:fill="FFFFFF"/>
              </w:rPr>
              <w:t>“</w:t>
            </w:r>
            <w:r>
              <w:rPr>
                <w:rFonts w:hint="eastAsia" w:eastAsia="楷体"/>
                <w:b/>
                <w:bCs/>
                <w:sz w:val="21"/>
                <w:szCs w:val="21"/>
                <w:shd w:val="clear" w:color="auto" w:fill="FFFFFF"/>
              </w:rPr>
              <w:t>一副</w:t>
            </w:r>
            <w:r>
              <w:rPr>
                <w:rFonts w:eastAsia="楷体"/>
                <w:b/>
                <w:bCs/>
                <w:sz w:val="21"/>
                <w:szCs w:val="21"/>
                <w:shd w:val="clear" w:color="auto" w:fill="FFFFFF"/>
              </w:rPr>
              <w:t>”</w:t>
            </w:r>
            <w:r>
              <w:rPr>
                <w:rFonts w:hint="eastAsia" w:eastAsia="楷体"/>
                <w:b/>
                <w:bCs/>
                <w:sz w:val="21"/>
                <w:szCs w:val="21"/>
                <w:shd w:val="clear" w:color="auto" w:fill="FFFFFF"/>
              </w:rPr>
              <w:t>。</w:t>
            </w:r>
            <w:r>
              <w:rPr>
                <w:rFonts w:hint="eastAsia" w:eastAsia="楷体"/>
                <w:sz w:val="21"/>
                <w:szCs w:val="21"/>
                <w:shd w:val="clear" w:color="auto" w:fill="FFFFFF"/>
              </w:rPr>
              <w:t>即北部金石桥镇县域副中心。</w:t>
            </w:r>
          </w:p>
          <w:p>
            <w:pPr>
              <w:spacing w:line="360" w:lineRule="exact"/>
              <w:ind w:firstLine="422"/>
              <w:rPr>
                <w:rFonts w:eastAsia="楷体"/>
                <w:sz w:val="21"/>
                <w:szCs w:val="21"/>
                <w:shd w:val="clear" w:color="auto" w:fill="FFFFFF"/>
              </w:rPr>
            </w:pPr>
            <w:r>
              <w:rPr>
                <w:rFonts w:hint="eastAsia" w:eastAsia="楷体"/>
                <w:b/>
                <w:bCs/>
                <w:sz w:val="21"/>
                <w:szCs w:val="21"/>
                <w:shd w:val="clear" w:color="auto" w:fill="FFFFFF"/>
              </w:rPr>
              <w:t>两特色。</w:t>
            </w:r>
            <w:r>
              <w:rPr>
                <w:rFonts w:hint="eastAsia" w:eastAsia="楷体"/>
                <w:sz w:val="21"/>
                <w:szCs w:val="21"/>
                <w:shd w:val="clear" w:color="auto" w:fill="FFFFFF"/>
              </w:rPr>
              <w:t>即将虎形山瑶族乡、山界回族乡打造成突出民俗特质的旅游服务型特色乡镇。</w:t>
            </w:r>
          </w:p>
          <w:p>
            <w:pPr>
              <w:spacing w:line="360" w:lineRule="exact"/>
              <w:ind w:firstLine="422"/>
              <w:rPr>
                <w:rFonts w:eastAsia="楷体"/>
                <w:sz w:val="21"/>
                <w:szCs w:val="21"/>
                <w:shd w:val="clear" w:color="auto" w:fill="FFFFFF"/>
              </w:rPr>
            </w:pPr>
            <w:r>
              <w:rPr>
                <w:rFonts w:eastAsia="楷体"/>
                <w:b/>
                <w:bCs/>
                <w:sz w:val="21"/>
                <w:szCs w:val="21"/>
                <w:shd w:val="clear" w:color="auto" w:fill="FFFFFF"/>
              </w:rPr>
              <w:t>“</w:t>
            </w:r>
            <w:r>
              <w:rPr>
                <w:rFonts w:hint="eastAsia" w:eastAsia="楷体"/>
                <w:b/>
                <w:bCs/>
                <w:sz w:val="21"/>
                <w:szCs w:val="21"/>
                <w:shd w:val="clear" w:color="auto" w:fill="FFFFFF"/>
              </w:rPr>
              <w:t>八个重点</w:t>
            </w:r>
            <w:r>
              <w:rPr>
                <w:rFonts w:eastAsia="楷体"/>
                <w:b/>
                <w:bCs/>
                <w:sz w:val="21"/>
                <w:szCs w:val="21"/>
                <w:shd w:val="clear" w:color="auto" w:fill="FFFFFF"/>
              </w:rPr>
              <w:t>”</w:t>
            </w:r>
            <w:r>
              <w:rPr>
                <w:rFonts w:hint="eastAsia" w:eastAsia="楷体"/>
                <w:b/>
                <w:bCs/>
                <w:sz w:val="21"/>
                <w:szCs w:val="21"/>
                <w:shd w:val="clear" w:color="auto" w:fill="FFFFFF"/>
              </w:rPr>
              <w:t>。</w:t>
            </w:r>
            <w:r>
              <w:rPr>
                <w:rFonts w:hint="eastAsia" w:eastAsia="楷体"/>
                <w:sz w:val="21"/>
                <w:szCs w:val="21"/>
                <w:shd w:val="clear" w:color="auto" w:fill="FFFFFF"/>
              </w:rPr>
              <w:t>即重点打造小沙江金银花特色小镇，将滩头、司门前打造成文旅小镇，将高平打造成工贸小镇，将横板桥、六都寨、荷香桥、周旺打造成商贸小镇。</w:t>
            </w:r>
          </w:p>
          <w:p>
            <w:pPr>
              <w:spacing w:line="360" w:lineRule="exact"/>
              <w:ind w:firstLine="422"/>
              <w:rPr>
                <w:rFonts w:eastAsia="楷体_GB2312"/>
                <w:kern w:val="0"/>
                <w:sz w:val="30"/>
                <w:szCs w:val="21"/>
              </w:rPr>
            </w:pPr>
            <w:r>
              <w:rPr>
                <w:rFonts w:eastAsia="楷体"/>
                <w:b/>
                <w:bCs/>
                <w:sz w:val="21"/>
                <w:szCs w:val="21"/>
                <w:shd w:val="clear" w:color="auto" w:fill="FFFFFF"/>
              </w:rPr>
              <w:t>“</w:t>
            </w:r>
            <w:r>
              <w:rPr>
                <w:rFonts w:hint="eastAsia" w:eastAsia="楷体"/>
                <w:b/>
                <w:bCs/>
                <w:sz w:val="21"/>
                <w:szCs w:val="21"/>
                <w:shd w:val="clear" w:color="auto" w:fill="FFFFFF"/>
              </w:rPr>
              <w:t>十个培育</w:t>
            </w:r>
            <w:r>
              <w:rPr>
                <w:rFonts w:eastAsia="楷体"/>
                <w:b/>
                <w:bCs/>
                <w:sz w:val="21"/>
                <w:szCs w:val="21"/>
                <w:shd w:val="clear" w:color="auto" w:fill="FFFFFF"/>
              </w:rPr>
              <w:t>”</w:t>
            </w:r>
            <w:r>
              <w:rPr>
                <w:rFonts w:hint="eastAsia" w:eastAsia="楷体"/>
                <w:b/>
                <w:bCs/>
                <w:sz w:val="21"/>
                <w:szCs w:val="21"/>
                <w:shd w:val="clear" w:color="auto" w:fill="FFFFFF"/>
              </w:rPr>
              <w:t>。</w:t>
            </w:r>
            <w:r>
              <w:rPr>
                <w:rFonts w:hint="eastAsia" w:eastAsia="楷体"/>
                <w:sz w:val="21"/>
                <w:szCs w:val="21"/>
                <w:shd w:val="clear" w:color="auto" w:fill="FFFFFF"/>
              </w:rPr>
              <w:t>即将羊古坳、大水田、麻塘山、鸭田、南岳庙、岩口、七江、西洋江、罗洪、荷田等乡镇培育成产业特色明显、培育潜质深厚的重点乡（镇）。</w:t>
            </w:r>
          </w:p>
        </w:tc>
      </w:tr>
    </w:tbl>
    <w:p>
      <w:pPr>
        <w:pStyle w:val="6"/>
        <w:ind w:firstLine="0" w:firstLineChars="0"/>
        <w:rPr>
          <w:rFonts w:ascii="仿宋" w:hAnsi="仿宋" w:cs="仿宋"/>
          <w:sz w:val="32"/>
        </w:rPr>
      </w:pPr>
    </w:p>
    <w:p>
      <w:pPr>
        <w:pStyle w:val="6"/>
        <w:ind w:firstLine="643"/>
        <w:rPr>
          <w:rFonts w:ascii="仿宋" w:hAnsi="仿宋" w:cs="仿宋"/>
          <w:sz w:val="32"/>
        </w:rPr>
      </w:pPr>
      <w:r>
        <w:rPr>
          <w:rFonts w:hint="eastAsia" w:ascii="仿宋" w:hAnsi="仿宋" w:cs="仿宋"/>
          <w:sz w:val="32"/>
        </w:rPr>
        <w:t>4.1.3 县城布局思路</w:t>
      </w:r>
    </w:p>
    <w:p>
      <w:pPr>
        <w:ind w:firstLine="562"/>
        <w:rPr>
          <w:b/>
          <w:bCs/>
        </w:rPr>
      </w:pPr>
      <w:r>
        <w:rPr>
          <w:rFonts w:hint="eastAsia"/>
          <w:b/>
          <w:bCs/>
        </w:rPr>
        <w:t>老旧城区的主要问题</w:t>
      </w:r>
      <w:bookmarkEnd w:id="164"/>
      <w:bookmarkEnd w:id="165"/>
      <w:bookmarkEnd w:id="166"/>
    </w:p>
    <w:p>
      <w:pPr>
        <w:ind w:firstLine="560"/>
      </w:pPr>
      <w:r>
        <w:rPr>
          <w:rFonts w:hint="eastAsia"/>
        </w:rPr>
        <w:t>县城旧城区是在桃花坪集市交易场的基础上自然拓展和发展起来的，旧城区拥挤杂乱，没有明显的功能分区；旧城区街坊式布局的生活居住区居住环境较差；旧城区的一些加工作坊分布在生活居住区；旧城基础设施老旧落后；大规模商业区集中布局在市中心，加大了居民购物的出行距离和交通成本，人流如织，车流如蚁，拥堵不堪。</w:t>
      </w:r>
    </w:p>
    <w:p>
      <w:pPr>
        <w:ind w:firstLine="562"/>
        <w:rPr>
          <w:b/>
          <w:bCs/>
        </w:rPr>
      </w:pPr>
      <w:bookmarkStart w:id="167" w:name="_Toc14716"/>
      <w:bookmarkStart w:id="168" w:name="_Toc18555"/>
      <w:bookmarkStart w:id="169" w:name="_Toc15123"/>
      <w:r>
        <w:rPr>
          <w:rFonts w:hint="eastAsia"/>
          <w:b/>
          <w:bCs/>
        </w:rPr>
        <w:t>旧城区总体布局调整</w:t>
      </w:r>
      <w:bookmarkEnd w:id="167"/>
      <w:bookmarkEnd w:id="168"/>
      <w:bookmarkEnd w:id="169"/>
      <w:r>
        <w:rPr>
          <w:rFonts w:hint="eastAsia"/>
          <w:b/>
          <w:bCs/>
        </w:rPr>
        <w:t>思路</w:t>
      </w:r>
    </w:p>
    <w:p>
      <w:pPr>
        <w:ind w:firstLine="560"/>
      </w:pPr>
      <w:r>
        <w:rPr>
          <w:rFonts w:hint="eastAsia"/>
        </w:rPr>
        <w:t>扩大县城规划的地域范围，建设新城区、卫星城和新城市；“腾笼换鸟”，商业外迁，在城市外围布局商业区；拆迁改造旧城中心区的生活住宅区，建设现代居住区；.在主城外围建设绿化带或环线型绿色屏障，限制主城区用地的无限制蔓延。</w:t>
      </w:r>
    </w:p>
    <w:p>
      <w:pPr>
        <w:pStyle w:val="3"/>
        <w:ind w:firstLine="640"/>
        <w:rPr>
          <w:rFonts w:ascii="仿宋" w:hAnsi="仿宋" w:eastAsia="仿宋" w:cs="仿宋"/>
          <w:sz w:val="32"/>
          <w:szCs w:val="32"/>
        </w:rPr>
      </w:pPr>
      <w:r>
        <w:rPr>
          <w:rFonts w:ascii="仿宋" w:hAnsi="仿宋" w:eastAsia="仿宋" w:cs="仿宋"/>
          <w:sz w:val="32"/>
          <w:szCs w:val="32"/>
        </w:rPr>
        <w:drawing>
          <wp:inline distT="0" distB="0" distL="0" distR="0">
            <wp:extent cx="5024755" cy="3621405"/>
            <wp:effectExtent l="0" t="0" r="4445" b="17145"/>
            <wp:docPr id="6" name="图片 2" descr="C:\Users\ADMINI~1\AppData\Local\Temp\16049308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ADMINI~1\AppData\Local\Temp\1604930849(1).png"/>
                    <pic:cNvPicPr>
                      <a:picLocks noChangeAspect="1" noChangeArrowheads="1"/>
                    </pic:cNvPicPr>
                  </pic:nvPicPr>
                  <pic:blipFill>
                    <a:blip r:embed="rId18" cstate="print"/>
                    <a:srcRect/>
                    <a:stretch>
                      <a:fillRect/>
                    </a:stretch>
                  </pic:blipFill>
                  <pic:spPr>
                    <a:xfrm>
                      <a:off x="0" y="0"/>
                      <a:ext cx="5024755" cy="3621405"/>
                    </a:xfrm>
                    <a:prstGeom prst="rect">
                      <a:avLst/>
                    </a:prstGeom>
                    <a:noFill/>
                    <a:ln w="9525">
                      <a:noFill/>
                      <a:miter lim="800000"/>
                      <a:headEnd/>
                      <a:tailEnd/>
                    </a:ln>
                  </pic:spPr>
                </pic:pic>
              </a:graphicData>
            </a:graphic>
          </wp:inline>
        </w:drawing>
      </w:r>
    </w:p>
    <w:p>
      <w:pPr>
        <w:ind w:firstLine="562"/>
        <w:rPr>
          <w:b/>
          <w:bCs/>
        </w:rPr>
      </w:pPr>
      <w:r>
        <w:rPr>
          <w:rFonts w:hint="eastAsia"/>
          <w:b/>
          <w:bCs/>
        </w:rPr>
        <w:t>新城区的主要问题</w:t>
      </w:r>
    </w:p>
    <w:p>
      <w:pPr>
        <w:ind w:firstLine="560"/>
      </w:pPr>
      <w:r>
        <w:rPr>
          <w:rFonts w:hint="eastAsia"/>
        </w:rPr>
        <w:t>怀邵衡铁路的建设，拉开了隆回县城的新城区框架，由于新城区路网骨架的拉开，绿化美化设施比较到位，但是其基础设施配套不完善，功能配套不齐全，缺乏商业和文化氛围，快速形成城区节奏跟不上，需要有一个比较长的推进过程。</w:t>
      </w:r>
    </w:p>
    <w:p>
      <w:pPr>
        <w:ind w:firstLine="562"/>
        <w:rPr>
          <w:b/>
          <w:bCs/>
        </w:rPr>
      </w:pPr>
      <w:r>
        <w:rPr>
          <w:rFonts w:hint="eastAsia"/>
          <w:b/>
          <w:bCs/>
        </w:rPr>
        <w:t>新城区的空间布局思路</w:t>
      </w:r>
    </w:p>
    <w:p>
      <w:pPr>
        <w:ind w:firstLine="560"/>
      </w:pPr>
      <w:r>
        <w:t>新城区的规划引入生态城市、</w:t>
      </w:r>
      <w:r>
        <w:rPr>
          <w:rFonts w:hint="eastAsia"/>
        </w:rPr>
        <w:t>文化</w:t>
      </w:r>
      <w:r>
        <w:t>城市、</w:t>
      </w:r>
      <w:r>
        <w:rPr>
          <w:rFonts w:hint="eastAsia"/>
        </w:rPr>
        <w:t>活力</w:t>
      </w:r>
      <w:r>
        <w:t>城市</w:t>
      </w:r>
      <w:r>
        <w:rPr>
          <w:rFonts w:hint="eastAsia"/>
        </w:rPr>
        <w:t>、森林城市、海绵城市</w:t>
      </w:r>
      <w:r>
        <w:t>等先进理念，体现出“以人为本”的精神和改善人居环境的意愿。同时规划一改过去“摊大饼”式的城市扩张模式，采取组团开发的概念，把城市结构分为行政办公区、教育科研区、居住商贸区、高新产业区等若干</w:t>
      </w:r>
      <w:r>
        <w:rPr>
          <w:rFonts w:hint="eastAsia"/>
        </w:rPr>
        <w:t>功能</w:t>
      </w:r>
      <w:r>
        <w:t>组团，从而为</w:t>
      </w:r>
      <w:r>
        <w:rPr>
          <w:rFonts w:hint="eastAsia"/>
        </w:rPr>
        <w:t>隆回县</w:t>
      </w:r>
      <w:r>
        <w:t>远景建设制定出具有本地特色的可持续发展之路。</w:t>
      </w:r>
    </w:p>
    <w:p>
      <w:pPr>
        <w:ind w:firstLine="560"/>
      </w:pPr>
      <w:r>
        <w:rPr>
          <w:rFonts w:hint="eastAsia"/>
        </w:rPr>
        <w:t>新城区规划需要弥补老城区的功能不足，将隆回新城区打造成行政功能区、商贸物流区、科教文卫功能区、综合交通枢纽功能区、高端商居功能区。解决老城区行政功能、商业购物、科教文卫机关等服务功能拥挤不堪的问题。</w:t>
      </w:r>
    </w:p>
    <w:p>
      <w:pPr>
        <w:pStyle w:val="5"/>
        <w:ind w:firstLine="643"/>
      </w:pPr>
      <w:bookmarkStart w:id="170" w:name="_Toc8880"/>
      <w:bookmarkStart w:id="171" w:name="_Toc7097"/>
      <w:bookmarkStart w:id="172" w:name="_Toc7439"/>
      <w:bookmarkStart w:id="173" w:name="_Toc25889"/>
      <w:bookmarkStart w:id="174" w:name="_Toc21014"/>
      <w:r>
        <w:rPr>
          <w:rFonts w:hint="eastAsia"/>
        </w:rPr>
        <w:t>第二节 空间布局</w:t>
      </w:r>
      <w:bookmarkEnd w:id="170"/>
      <w:bookmarkEnd w:id="171"/>
      <w:bookmarkEnd w:id="172"/>
      <w:bookmarkEnd w:id="173"/>
      <w:bookmarkEnd w:id="174"/>
    </w:p>
    <w:p>
      <w:pPr>
        <w:pStyle w:val="6"/>
        <w:ind w:firstLine="643"/>
        <w:rPr>
          <w:rFonts w:ascii="仿宋" w:hAnsi="仿宋" w:cs="仿宋"/>
          <w:sz w:val="32"/>
        </w:rPr>
      </w:pPr>
      <w:r>
        <w:rPr>
          <w:rFonts w:hint="eastAsia" w:ascii="仿宋" w:hAnsi="仿宋" w:cs="仿宋"/>
          <w:sz w:val="32"/>
        </w:rPr>
        <w:t xml:space="preserve"> </w:t>
      </w:r>
      <w:bookmarkStart w:id="175" w:name="_Toc103"/>
      <w:bookmarkStart w:id="176" w:name="_Toc8083"/>
      <w:bookmarkStart w:id="177" w:name="_Toc5604"/>
      <w:r>
        <w:rPr>
          <w:rFonts w:hint="eastAsia" w:ascii="仿宋" w:hAnsi="仿宋" w:cs="仿宋"/>
          <w:sz w:val="32"/>
        </w:rPr>
        <w:t>4.2.1 空间布局的基本要求</w:t>
      </w:r>
      <w:bookmarkEnd w:id="175"/>
      <w:bookmarkEnd w:id="176"/>
      <w:bookmarkEnd w:id="177"/>
    </w:p>
    <w:p>
      <w:pPr>
        <w:ind w:firstLine="560"/>
      </w:pPr>
      <w:r>
        <w:rPr>
          <w:rFonts w:hint="eastAsia"/>
        </w:rPr>
        <w:t>立足全局、讲求协调；集中紧凑，节约用地；抓住城市建设和发展的主要矛盾；规划结构清晰，内外交通便捷；近远结合、利旧图新；保护环境，美化城市；重视对城市总体艺术布局的构思；</w:t>
      </w:r>
    </w:p>
    <w:p>
      <w:pPr>
        <w:pStyle w:val="6"/>
        <w:ind w:firstLine="643"/>
        <w:rPr>
          <w:rFonts w:ascii="仿宋" w:hAnsi="仿宋" w:cs="仿宋"/>
          <w:sz w:val="32"/>
        </w:rPr>
      </w:pPr>
      <w:bookmarkStart w:id="178" w:name="_Toc5057"/>
      <w:bookmarkStart w:id="179" w:name="_Toc16217"/>
      <w:bookmarkStart w:id="180" w:name="_Toc20366"/>
      <w:r>
        <w:rPr>
          <w:rFonts w:hint="eastAsia" w:ascii="仿宋" w:hAnsi="仿宋" w:cs="仿宋"/>
          <w:sz w:val="32"/>
        </w:rPr>
        <w:t>4.2.2 县城功能分区总体布局方案</w:t>
      </w:r>
      <w:bookmarkEnd w:id="178"/>
      <w:bookmarkEnd w:id="179"/>
      <w:bookmarkEnd w:id="180"/>
    </w:p>
    <w:p>
      <w:pPr>
        <w:ind w:firstLine="560"/>
      </w:pPr>
      <w:r>
        <w:rPr>
          <w:rFonts w:hint="eastAsia"/>
        </w:rPr>
        <w:t>未来县城的城市布局结构总体上形成外围森林环抱、绿水穿城而过、绿楔点缀其间的空间结构，</w:t>
      </w:r>
      <w:r>
        <w:rPr>
          <w:rFonts w:hint="eastAsia"/>
          <w:szCs w:val="30"/>
        </w:rPr>
        <w:t>继续贯彻实施“北拓南提、东进西展”战略，</w:t>
      </w:r>
      <w:r>
        <w:rPr>
          <w:szCs w:val="30"/>
        </w:rPr>
        <w:t>构建“两带两轴</w:t>
      </w:r>
      <w:r>
        <w:rPr>
          <w:rFonts w:hint="eastAsia"/>
          <w:szCs w:val="30"/>
        </w:rPr>
        <w:t>五组团</w:t>
      </w:r>
      <w:r>
        <w:rPr>
          <w:szCs w:val="30"/>
        </w:rPr>
        <w:t>”现代化新城</w:t>
      </w:r>
      <w:r>
        <w:rPr>
          <w:rFonts w:hint="eastAsia"/>
          <w:szCs w:val="30"/>
        </w:rPr>
        <w:t>空间总体布局。</w:t>
      </w:r>
    </w:p>
    <w:p>
      <w:pPr>
        <w:ind w:firstLine="562"/>
      </w:pPr>
      <w:r>
        <w:rPr>
          <w:b/>
          <w:bCs/>
        </w:rPr>
        <w:t>“两带”</w:t>
      </w:r>
      <w:r>
        <w:rPr>
          <w:rFonts w:hint="eastAsia"/>
        </w:rPr>
        <w:t>：</w:t>
      </w:r>
      <w:r>
        <w:t>资江赧</w:t>
      </w:r>
      <w:r>
        <w:rPr>
          <w:rFonts w:hint="eastAsia"/>
        </w:rPr>
        <w:t>水滨江</w:t>
      </w:r>
      <w:r>
        <w:t>风光带、伏龙江沿江风光带两大城区风光带，围绕赧水、伏龙江两岸建设城市休闲景观设施，打造城市生活带、生态廊道和旅游景观通道。</w:t>
      </w:r>
    </w:p>
    <w:p>
      <w:pPr>
        <w:ind w:firstLine="562"/>
      </w:pPr>
      <w:r>
        <w:rPr>
          <w:b/>
          <w:bCs/>
        </w:rPr>
        <w:t>“两轴”</w:t>
      </w:r>
      <w:r>
        <w:rPr>
          <w:rFonts w:hint="eastAsia"/>
        </w:rPr>
        <w:t>：</w:t>
      </w:r>
      <w:r>
        <w:t>以桃洪路、九龙路、隆回大道为主的东西向发展轴，连接老城区、城北新区；以伏龙江路、兴隆大道、魏源大道等为主的南北向发展轴</w:t>
      </w:r>
      <w:r>
        <w:rPr>
          <w:rFonts w:hint="eastAsia"/>
        </w:rPr>
        <w:t>。</w:t>
      </w:r>
    </w:p>
    <w:p>
      <w:pPr>
        <w:ind w:firstLine="562"/>
      </w:pPr>
      <w:r>
        <w:rPr>
          <w:rFonts w:hint="eastAsia"/>
          <w:b/>
          <w:bCs/>
        </w:rPr>
        <w:t>“五组团”</w:t>
      </w:r>
      <w:r>
        <w:rPr>
          <w:rFonts w:hint="eastAsia"/>
        </w:rPr>
        <w:t>：隆回县城功能分区总体空间布局大致分为城南商贸功能区组团、城东高新科技产业聚集区组团、城西科教文卫功能组团、城北交通枢纽功能区组团、城中老城风貌综合功能区组团，并在上述功能区配套市民宜居社区、功能平台区。</w:t>
      </w:r>
    </w:p>
    <w:tbl>
      <w:tblPr>
        <w:tblStyle w:val="23"/>
        <w:tblW w:w="9132" w:type="dxa"/>
        <w:jc w:val="center"/>
        <w:tblLayout w:type="fixed"/>
        <w:tblCellMar>
          <w:top w:w="0" w:type="dxa"/>
          <w:left w:w="108" w:type="dxa"/>
          <w:bottom w:w="0" w:type="dxa"/>
          <w:right w:w="108" w:type="dxa"/>
        </w:tblCellMar>
      </w:tblPr>
      <w:tblGrid>
        <w:gridCol w:w="9132"/>
      </w:tblGrid>
      <w:tr>
        <w:tblPrEx>
          <w:tblCellMar>
            <w:top w:w="0" w:type="dxa"/>
            <w:left w:w="108" w:type="dxa"/>
            <w:bottom w:w="0" w:type="dxa"/>
            <w:right w:w="108" w:type="dxa"/>
          </w:tblCellMar>
        </w:tblPrEx>
        <w:trPr>
          <w:tblHeader/>
          <w:jc w:val="center"/>
        </w:trPr>
        <w:tc>
          <w:tcPr>
            <w:tcW w:w="9132" w:type="dxa"/>
            <w:tcBorders>
              <w:top w:val="single" w:color="4BACC6" w:sz="8" w:space="0"/>
              <w:left w:val="single" w:color="4BACC6" w:sz="8" w:space="0"/>
              <w:bottom w:val="single" w:color="FFFFFF" w:sz="18" w:space="0"/>
              <w:right w:val="single" w:color="4BACC6" w:sz="8" w:space="0"/>
            </w:tcBorders>
            <w:shd w:val="clear" w:color="auto" w:fill="4BACC6"/>
            <w:vAlign w:val="center"/>
          </w:tcPr>
          <w:p>
            <w:pPr>
              <w:pStyle w:val="34"/>
              <w:spacing w:line="400" w:lineRule="exact"/>
              <w:ind w:firstLine="1687" w:firstLineChars="600"/>
              <w:outlineLvl w:val="3"/>
              <w:rPr>
                <w:rFonts w:eastAsia="楷体_GB2312"/>
                <w:b/>
                <w:bCs/>
                <w:color w:val="FFFFFF"/>
                <w:kern w:val="0"/>
                <w:szCs w:val="28"/>
              </w:rPr>
            </w:pPr>
            <w:r>
              <w:rPr>
                <w:rFonts w:hint="eastAsia" w:eastAsia="楷体"/>
                <w:b/>
                <w:bCs/>
                <w:color w:val="FFFFFF"/>
                <w:kern w:val="0"/>
                <w:szCs w:val="28"/>
              </w:rPr>
              <w:t>专栏2 县城“两带两轴五组团”空间功能布局</w:t>
            </w:r>
          </w:p>
        </w:tc>
      </w:tr>
      <w:tr>
        <w:tblPrEx>
          <w:tblCellMar>
            <w:top w:w="0" w:type="dxa"/>
            <w:left w:w="108" w:type="dxa"/>
            <w:bottom w:w="0" w:type="dxa"/>
            <w:right w:w="108" w:type="dxa"/>
          </w:tblCellMar>
        </w:tblPrEx>
        <w:trPr>
          <w:jc w:val="center"/>
        </w:trPr>
        <w:tc>
          <w:tcPr>
            <w:tcW w:w="9132" w:type="dxa"/>
            <w:tcBorders>
              <w:top w:val="single" w:color="FFFFFF" w:sz="18" w:space="0"/>
              <w:left w:val="single" w:color="4BACC6" w:sz="8" w:space="0"/>
              <w:bottom w:val="single" w:color="4BACC6" w:sz="8" w:space="0"/>
              <w:right w:val="single" w:color="4BACC6" w:sz="8" w:space="0"/>
            </w:tcBorders>
            <w:shd w:val="clear" w:color="auto" w:fill="B7DDE8"/>
            <w:vAlign w:val="center"/>
          </w:tcPr>
          <w:p>
            <w:pPr>
              <w:ind w:firstLine="442"/>
              <w:rPr>
                <w:b/>
                <w:bCs/>
                <w:sz w:val="22"/>
                <w:szCs w:val="22"/>
              </w:rPr>
            </w:pPr>
            <w:r>
              <w:rPr>
                <w:rFonts w:hint="eastAsia"/>
                <w:b/>
                <w:bCs/>
                <w:sz w:val="22"/>
                <w:szCs w:val="22"/>
              </w:rPr>
              <w:t>“两带”：</w:t>
            </w:r>
            <w:r>
              <w:rPr>
                <w:rFonts w:hint="eastAsia"/>
                <w:sz w:val="22"/>
                <w:szCs w:val="22"/>
              </w:rPr>
              <w:t>资江赧滨水风光带、伏龙江沿江风光带两大城区风光带，围绕赧水、伏龙江两岸建设城市休闲景观设施，打造城市生活带、生态廊道和旅游景观通道，依托隆回县城周边的山岗丘陵茂盛的森林资源，构筑天然的生态安全屏障，提升县城的居住舒适度和城市美感。</w:t>
            </w:r>
          </w:p>
          <w:p>
            <w:pPr>
              <w:ind w:firstLine="442"/>
              <w:rPr>
                <w:sz w:val="22"/>
                <w:szCs w:val="22"/>
              </w:rPr>
            </w:pPr>
            <w:r>
              <w:rPr>
                <w:rFonts w:hint="eastAsia"/>
                <w:b/>
                <w:bCs/>
                <w:sz w:val="22"/>
                <w:szCs w:val="22"/>
              </w:rPr>
              <w:t>“两轴”：</w:t>
            </w:r>
            <w:r>
              <w:rPr>
                <w:rFonts w:hint="eastAsia"/>
                <w:sz w:val="22"/>
                <w:szCs w:val="22"/>
              </w:rPr>
              <w:t>以桃洪路、九龙路、隆回大道为主的东西向发展轴，连接老城区、城北新区；以伏龙江路、兴隆大道、魏源大道等为主的南北向发展轴。</w:t>
            </w:r>
          </w:p>
          <w:p>
            <w:pPr>
              <w:ind w:firstLine="442"/>
              <w:rPr>
                <w:b/>
                <w:bCs/>
                <w:sz w:val="22"/>
                <w:szCs w:val="22"/>
              </w:rPr>
            </w:pPr>
            <w:r>
              <w:rPr>
                <w:rFonts w:hint="eastAsia"/>
                <w:b/>
                <w:bCs/>
                <w:sz w:val="22"/>
                <w:szCs w:val="22"/>
              </w:rPr>
              <w:t>“五组团”</w:t>
            </w:r>
          </w:p>
          <w:p>
            <w:pPr>
              <w:ind w:firstLine="442"/>
              <w:rPr>
                <w:b/>
                <w:bCs/>
                <w:sz w:val="22"/>
                <w:szCs w:val="22"/>
              </w:rPr>
            </w:pPr>
            <w:r>
              <w:rPr>
                <w:rFonts w:hint="eastAsia"/>
                <w:b/>
                <w:bCs/>
                <w:sz w:val="22"/>
                <w:szCs w:val="22"/>
              </w:rPr>
              <w:t>城南商贸商住功能区组团：</w:t>
            </w:r>
            <w:r>
              <w:rPr>
                <w:rFonts w:hint="eastAsia"/>
                <w:sz w:val="22"/>
                <w:szCs w:val="22"/>
              </w:rPr>
              <w:t>依托沪昆高速、沪北高速互通的出入便捷条件，加上滨江风光带的日然禀赋，建设物流聚散中心、商贸交易中心、商品配送中心、高端购物中心，同时建设风景优美、功能齐备、设计科学、宜居宜商、休闲居家的高端住宅区，形成现代商贸商住功能组团；</w:t>
            </w:r>
          </w:p>
          <w:p>
            <w:pPr>
              <w:ind w:firstLine="442"/>
              <w:rPr>
                <w:b/>
                <w:bCs/>
                <w:sz w:val="22"/>
                <w:szCs w:val="22"/>
              </w:rPr>
            </w:pPr>
            <w:r>
              <w:rPr>
                <w:rFonts w:hint="eastAsia"/>
                <w:b/>
                <w:bCs/>
                <w:sz w:val="22"/>
                <w:szCs w:val="22"/>
              </w:rPr>
              <w:t>城东高新科技产业聚集区组团：</w:t>
            </w:r>
            <w:r>
              <w:rPr>
                <w:rFonts w:hint="eastAsia"/>
                <w:sz w:val="22"/>
                <w:szCs w:val="22"/>
              </w:rPr>
              <w:t>依托县高新技术产业园区、城东工业园区、湘商产业园、义乌商贸城等组团形成高新技术产业聚集区；</w:t>
            </w:r>
          </w:p>
          <w:p>
            <w:pPr>
              <w:ind w:firstLine="442"/>
              <w:rPr>
                <w:b/>
                <w:bCs/>
                <w:sz w:val="22"/>
                <w:szCs w:val="22"/>
              </w:rPr>
            </w:pPr>
            <w:r>
              <w:rPr>
                <w:rFonts w:hint="eastAsia"/>
                <w:b/>
                <w:bCs/>
                <w:sz w:val="22"/>
                <w:szCs w:val="22"/>
              </w:rPr>
              <w:t>城西科教文卫功能组团区：</w:t>
            </w:r>
            <w:r>
              <w:rPr>
                <w:rFonts w:hint="eastAsia"/>
                <w:sz w:val="22"/>
                <w:szCs w:val="22"/>
              </w:rPr>
              <w:t>依托隆回二中、城西中学、九龙学校、隆回县“五馆一中心”、县人民医院北院、隆回二中、职业中专、隆回麓山实验学校等相关科教文卫单位，</w:t>
            </w:r>
          </w:p>
          <w:p>
            <w:pPr>
              <w:ind w:firstLine="442"/>
              <w:rPr>
                <w:b/>
                <w:bCs/>
                <w:sz w:val="22"/>
                <w:szCs w:val="22"/>
              </w:rPr>
            </w:pPr>
            <w:r>
              <w:rPr>
                <w:rFonts w:hint="eastAsia"/>
                <w:b/>
                <w:bCs/>
                <w:sz w:val="22"/>
                <w:szCs w:val="22"/>
              </w:rPr>
              <w:t>城北交通枢纽功能区组团：</w:t>
            </w:r>
            <w:r>
              <w:rPr>
                <w:rFonts w:hint="eastAsia"/>
                <w:sz w:val="22"/>
                <w:szCs w:val="22"/>
              </w:rPr>
              <w:t>依托高铁站，打造现代物流园区，包括仓储、物流、冷库，建成大型物流基地；</w:t>
            </w:r>
            <w:r>
              <w:rPr>
                <w:rFonts w:hint="eastAsia"/>
                <w:bCs/>
                <w:sz w:val="22"/>
                <w:szCs w:val="22"/>
              </w:rPr>
              <w:t>依托城北新城区位优势、依托高铁站和呼北高速连接线、北环路交通优势，打造现代新型商贸中心区。</w:t>
            </w:r>
            <w:r>
              <w:rPr>
                <w:rFonts w:hint="eastAsia"/>
                <w:sz w:val="22"/>
                <w:szCs w:val="22"/>
              </w:rPr>
              <w:t>新建县城综合交通枢纽，实现城市公共交通、城乡交通、社会交通、远程交通、铁路交通零距离无缝换乘，既方便了旅客，又减轻了城市交通压力。</w:t>
            </w:r>
          </w:p>
          <w:p>
            <w:pPr>
              <w:ind w:firstLine="560"/>
              <w:rPr>
                <w:sz w:val="24"/>
              </w:rPr>
            </w:pPr>
            <w:r>
              <w:rPr>
                <w:rFonts w:hint="eastAsia"/>
              </w:rPr>
              <w:drawing>
                <wp:anchor distT="0" distB="0" distL="114300" distR="114300" simplePos="0" relativeHeight="251659264" behindDoc="0" locked="0" layoutInCell="1" allowOverlap="1">
                  <wp:simplePos x="0" y="0"/>
                  <wp:positionH relativeFrom="column">
                    <wp:posOffset>12065</wp:posOffset>
                  </wp:positionH>
                  <wp:positionV relativeFrom="page">
                    <wp:posOffset>4453890</wp:posOffset>
                  </wp:positionV>
                  <wp:extent cx="5705475" cy="3644265"/>
                  <wp:effectExtent l="0" t="0" r="9525" b="13335"/>
                  <wp:wrapTopAndBottom/>
                  <wp:docPr id="3" name="图片 3" descr="1615346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5346558(1)"/>
                          <pic:cNvPicPr>
                            <a:picLocks noChangeAspect="1"/>
                          </pic:cNvPicPr>
                        </pic:nvPicPr>
                        <pic:blipFill>
                          <a:blip r:embed="rId19"/>
                          <a:stretch>
                            <a:fillRect/>
                          </a:stretch>
                        </pic:blipFill>
                        <pic:spPr>
                          <a:xfrm>
                            <a:off x="0" y="0"/>
                            <a:ext cx="5705475" cy="3644265"/>
                          </a:xfrm>
                          <a:prstGeom prst="rect">
                            <a:avLst/>
                          </a:prstGeom>
                        </pic:spPr>
                      </pic:pic>
                    </a:graphicData>
                  </a:graphic>
                </wp:anchor>
              </w:drawing>
            </w:r>
            <w:r>
              <w:rPr>
                <w:rFonts w:hint="eastAsia"/>
                <w:b/>
                <w:bCs/>
                <w:sz w:val="22"/>
                <w:szCs w:val="22"/>
              </w:rPr>
              <w:t>城中老城风貌综合功能区组团：</w:t>
            </w:r>
            <w:r>
              <w:rPr>
                <w:rFonts w:hint="eastAsia"/>
                <w:sz w:val="22"/>
                <w:szCs w:val="22"/>
              </w:rPr>
              <w:t>一个城市的灵魂在城市的记忆，过分频繁的替换，会导致城市记忆的丧失。引进欧洲城市发展的理念，适当保留城市的老城区，既能承载城市的记忆，又体现城市发展的变迁。</w:t>
            </w:r>
          </w:p>
        </w:tc>
      </w:tr>
    </w:tbl>
    <w:p>
      <w:pPr>
        <w:pStyle w:val="6"/>
        <w:ind w:firstLine="562"/>
      </w:pPr>
      <w:bookmarkStart w:id="181" w:name="_Toc6997"/>
      <w:bookmarkStart w:id="182" w:name="_Toc30974"/>
      <w:bookmarkStart w:id="183" w:name="_Toc15598"/>
      <w:bookmarkStart w:id="184" w:name="_Toc8357"/>
      <w:r>
        <w:rPr>
          <w:rFonts w:hint="eastAsia"/>
        </w:rPr>
        <w:t>4.2.3城乡统筹发展总体布局</w:t>
      </w:r>
      <w:bookmarkEnd w:id="181"/>
      <w:bookmarkEnd w:id="182"/>
      <w:bookmarkEnd w:id="183"/>
      <w:bookmarkEnd w:id="184"/>
    </w:p>
    <w:p>
      <w:pPr>
        <w:ind w:firstLine="560"/>
      </w:pPr>
      <w:r>
        <w:rPr>
          <w:rFonts w:hint="eastAsia"/>
        </w:rPr>
        <w:t>根据隆回县北部山地和南部丘陵的地形地貌，将隆回县城乡总体布局划分为“一核一副两特色、八个重点十培育”的城镇发展格局。</w:t>
      </w:r>
    </w:p>
    <w:p>
      <w:pPr>
        <w:ind w:firstLine="562"/>
      </w:pPr>
      <w:r>
        <w:rPr>
          <w:rFonts w:hint="eastAsia"/>
          <w:b/>
          <w:bCs/>
        </w:rPr>
        <w:t>“一核”</w:t>
      </w:r>
      <w:r>
        <w:rPr>
          <w:rFonts w:hint="eastAsia"/>
        </w:rPr>
        <w:t>：即县城，按照40平方公里、40万人口进行规划建设，以桃花坪街道、花门街道为中心，带动北山镇、三阁司镇等县城周边城镇联动发展，打造全县政治、经济、教育、文化核心。</w:t>
      </w:r>
    </w:p>
    <w:p>
      <w:pPr>
        <w:ind w:firstLine="562"/>
      </w:pPr>
      <w:r>
        <w:rPr>
          <w:rFonts w:hint="eastAsia"/>
          <w:b/>
          <w:bCs/>
        </w:rPr>
        <w:t>“一副”：</w:t>
      </w:r>
      <w:r>
        <w:rPr>
          <w:rFonts w:hint="eastAsia"/>
        </w:rPr>
        <w:t>即北部金石桥镇县域副中心，按照4平方公里、4万人口的规模进行规划建设，打造成为娄邵怀地区物流集散中心和旅游承载中心。</w:t>
      </w:r>
    </w:p>
    <w:p>
      <w:pPr>
        <w:ind w:firstLine="562"/>
      </w:pPr>
      <w:r>
        <w:rPr>
          <w:rFonts w:hint="eastAsia"/>
          <w:b/>
          <w:bCs/>
        </w:rPr>
        <w:t>“两特色”：</w:t>
      </w:r>
      <w:r>
        <w:rPr>
          <w:rFonts w:hint="eastAsia"/>
        </w:rPr>
        <w:t>即将虎形山瑶族乡、山界回族乡打造成突出民俗特质的旅游服务型特色乡镇。</w:t>
      </w:r>
    </w:p>
    <w:p>
      <w:pPr>
        <w:ind w:firstLine="562"/>
      </w:pPr>
      <w:r>
        <w:rPr>
          <w:rFonts w:hint="eastAsia"/>
          <w:b/>
          <w:bCs/>
        </w:rPr>
        <w:t>“八个重点”</w:t>
      </w:r>
      <w:r>
        <w:rPr>
          <w:rFonts w:hint="eastAsia"/>
        </w:rPr>
        <w:t>：即打造六都寨、小沙江、司门前、高平、横板桥、荷香桥、滩头、周旺等八个重点乡镇。</w:t>
      </w:r>
    </w:p>
    <w:p>
      <w:pPr>
        <w:ind w:firstLine="562"/>
      </w:pPr>
      <w:r>
        <w:rPr>
          <w:rFonts w:hint="eastAsia"/>
          <w:b/>
          <w:bCs/>
        </w:rPr>
        <w:t>“十培育”：</w:t>
      </w:r>
      <w:r>
        <w:rPr>
          <w:rFonts w:hint="eastAsia"/>
        </w:rPr>
        <w:t>即将羊古坳、大水田、麻塘山、鸭田、南岳庙、岩口、七江、西洋江、罗洪、荷田等乡镇培育成产业特色明显、潜质深厚的魅力乡（镇）。</w:t>
      </w:r>
    </w:p>
    <w:p>
      <w:pPr>
        <w:ind w:firstLine="560"/>
      </w:pPr>
      <w:r>
        <w:rPr>
          <w:rFonts w:hint="eastAsia"/>
          <w:bCs/>
        </w:rPr>
        <w:t>在产业经济发展布局上打造</w:t>
      </w:r>
      <w:r>
        <w:rPr>
          <w:rFonts w:hint="eastAsia"/>
        </w:rPr>
        <w:t>北部生态经济圈、南部现代产业经济圈，北部乡镇以生态保护、生态旅游、生态休闲、生态农业为主，南部承载全县商贸流通、高新技术产业、交通信息产业，承担行政服务、文旅教育、医疗卫生等社会服务为主。</w:t>
      </w:r>
      <w:bookmarkStart w:id="185" w:name="_Toc30666"/>
      <w:bookmarkStart w:id="186" w:name="_Toc11281"/>
      <w:r>
        <w:rPr>
          <w:rFonts w:hint="eastAsia"/>
        </w:rPr>
        <w:t>北部生态经济圈：主要建设风景名胜区、森林公园、湿地公园、民俗风情园、生态农业、特色小镇；</w:t>
      </w:r>
      <w:bookmarkEnd w:id="185"/>
      <w:bookmarkEnd w:id="186"/>
      <w:r>
        <w:rPr>
          <w:rFonts w:hint="eastAsia"/>
        </w:rPr>
        <w:t xml:space="preserve"> </w:t>
      </w:r>
      <w:r>
        <w:rPr>
          <w:rFonts w:hint="eastAsia"/>
        </w:rPr>
        <w:drawing>
          <wp:anchor distT="0" distB="0" distL="114300" distR="114300" simplePos="0" relativeHeight="251660288" behindDoc="0" locked="0" layoutInCell="1" allowOverlap="1">
            <wp:simplePos x="0" y="0"/>
            <wp:positionH relativeFrom="column">
              <wp:posOffset>-190500</wp:posOffset>
            </wp:positionH>
            <wp:positionV relativeFrom="page">
              <wp:posOffset>2191385</wp:posOffset>
            </wp:positionV>
            <wp:extent cx="5794375" cy="3590290"/>
            <wp:effectExtent l="0" t="0" r="15875" b="10160"/>
            <wp:wrapTopAndBottom/>
            <wp:docPr id="13" name="图片 13" descr="1615348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5348407(1)"/>
                    <pic:cNvPicPr>
                      <a:picLocks noChangeAspect="1"/>
                    </pic:cNvPicPr>
                  </pic:nvPicPr>
                  <pic:blipFill>
                    <a:blip r:embed="rId20"/>
                    <a:stretch>
                      <a:fillRect/>
                    </a:stretch>
                  </pic:blipFill>
                  <pic:spPr>
                    <a:xfrm>
                      <a:off x="0" y="0"/>
                      <a:ext cx="5794375" cy="3590290"/>
                    </a:xfrm>
                    <a:prstGeom prst="rect">
                      <a:avLst/>
                    </a:prstGeom>
                  </pic:spPr>
                </pic:pic>
              </a:graphicData>
            </a:graphic>
          </wp:anchor>
        </w:drawing>
      </w:r>
      <w:r>
        <w:rPr>
          <w:rFonts w:hint="eastAsia"/>
        </w:rPr>
        <w:t xml:space="preserve">南部现代产业经济圈：主要建设人口据点、经济据点，通过“十四五”乃至今后十五年的努力，将隆回打造成“武陵山片区发展门户”、“湘西南区域发展次中心”、“邵阳市一核一群一圈的桥头堡”。  </w:t>
      </w:r>
    </w:p>
    <w:p>
      <w:pPr>
        <w:ind w:firstLine="0" w:firstLineChars="0"/>
      </w:pPr>
    </w:p>
    <w:p>
      <w:pPr>
        <w:pStyle w:val="4"/>
        <w:ind w:firstLine="883"/>
      </w:pPr>
      <w:bookmarkStart w:id="187" w:name="_Toc4531"/>
      <w:bookmarkStart w:id="188" w:name="_Toc7557"/>
      <w:bookmarkStart w:id="189" w:name="_Toc27203"/>
      <w:bookmarkStart w:id="190" w:name="_Toc26755"/>
    </w:p>
    <w:p/>
    <w:p>
      <w:pPr>
        <w:pStyle w:val="2"/>
      </w:pPr>
    </w:p>
    <w:p>
      <w:pPr>
        <w:pStyle w:val="3"/>
      </w:pPr>
    </w:p>
    <w:p>
      <w:pPr>
        <w:pStyle w:val="3"/>
      </w:pPr>
    </w:p>
    <w:p>
      <w:pPr>
        <w:pStyle w:val="3"/>
      </w:pPr>
    </w:p>
    <w:p>
      <w:pPr>
        <w:pStyle w:val="3"/>
      </w:pPr>
    </w:p>
    <w:p>
      <w:pPr>
        <w:ind w:firstLine="560"/>
      </w:pPr>
    </w:p>
    <w:p>
      <w:pPr>
        <w:pStyle w:val="4"/>
        <w:ind w:firstLine="883"/>
      </w:pPr>
      <w:bookmarkStart w:id="191" w:name="_Toc18641"/>
      <w:r>
        <w:rPr>
          <w:rFonts w:hint="eastAsia"/>
        </w:rPr>
        <w:t>第五章 主要任务</w:t>
      </w:r>
      <w:bookmarkEnd w:id="187"/>
      <w:bookmarkEnd w:id="188"/>
      <w:bookmarkEnd w:id="189"/>
      <w:bookmarkEnd w:id="190"/>
      <w:bookmarkEnd w:id="191"/>
    </w:p>
    <w:p>
      <w:pPr>
        <w:pStyle w:val="5"/>
        <w:ind w:firstLine="643"/>
      </w:pPr>
      <w:bookmarkStart w:id="192" w:name="_Toc22295"/>
      <w:bookmarkStart w:id="193" w:name="_Toc26048"/>
      <w:bookmarkStart w:id="194" w:name="_Toc4381"/>
      <w:bookmarkStart w:id="195" w:name="_Toc10500"/>
      <w:bookmarkStart w:id="196" w:name="_Toc23066"/>
      <w:r>
        <w:rPr>
          <w:rFonts w:hint="eastAsia"/>
        </w:rPr>
        <w:t>第一节 围绕五城同创，打造文明卫生县城</w:t>
      </w:r>
      <w:bookmarkEnd w:id="192"/>
    </w:p>
    <w:p>
      <w:pPr>
        <w:pStyle w:val="6"/>
        <w:ind w:firstLine="562"/>
      </w:pPr>
      <w:r>
        <w:rPr>
          <w:rFonts w:hint="eastAsia"/>
        </w:rPr>
        <w:t>5.1.1主要目标</w:t>
      </w:r>
    </w:p>
    <w:p>
      <w:pPr>
        <w:ind w:firstLine="560"/>
      </w:pPr>
      <w:r>
        <w:rPr>
          <w:rFonts w:hint="eastAsia"/>
        </w:rPr>
        <w:t>坚持以人为本，坚持可持续发展战略，以新型工业化为动力，以产业为支撑，实现“人口、资源、环境、发展四位一体”协调发展，走科学发展、集约高效发展、功能完善、环境友好、社会和谐、个性鲜明、城乡公共服务均等化，建立集群型、循环型、低碳型、生态型的新型城镇。</w:t>
      </w:r>
    </w:p>
    <w:p>
      <w:pPr>
        <w:ind w:firstLine="560"/>
      </w:pPr>
      <w:r>
        <w:rPr>
          <w:rFonts w:hint="eastAsia"/>
        </w:rPr>
        <w:t>瞄准“五城同创”目标，通过</w:t>
      </w:r>
      <w:r>
        <w:t>“</w:t>
      </w:r>
      <w:r>
        <w:rPr>
          <w:rFonts w:hint="eastAsia"/>
        </w:rPr>
        <w:t>十四五“期间的努力，将隆回打造成“全国文明城市”、“国家卫生城市”、“省级环保模范城市”、“国家园林城市”、“ 国家级全域旅游示范县”，全面提升城市功能，提高市民素质，实现“五城同创”基本目标，推进和谐隆回建设。</w:t>
      </w:r>
    </w:p>
    <w:p>
      <w:pPr>
        <w:pStyle w:val="6"/>
        <w:ind w:firstLine="562"/>
      </w:pPr>
      <w:r>
        <w:rPr>
          <w:rFonts w:hint="eastAsia"/>
        </w:rPr>
        <w:t>5.1.2主要任务</w:t>
      </w:r>
    </w:p>
    <w:p>
      <w:pPr>
        <w:ind w:firstLine="562"/>
      </w:pPr>
      <w:r>
        <w:rPr>
          <w:rFonts w:hint="eastAsia"/>
          <w:b/>
        </w:rPr>
        <w:t>文明创建：</w:t>
      </w:r>
      <w:r>
        <w:rPr>
          <w:rFonts w:hint="eastAsia"/>
        </w:rPr>
        <w:t>组织领导坚强有力，创建工作机制健全；思想教育深入细致，道德建设扎实有效；创建活动蓬勃开展，人民群众广泛参与；</w:t>
      </w:r>
    </w:p>
    <w:p>
      <w:pPr>
        <w:ind w:firstLine="0" w:firstLineChars="0"/>
      </w:pPr>
      <w:r>
        <w:rPr>
          <w:rFonts w:hint="eastAsia"/>
        </w:rPr>
        <w:t>党政机关廉洁高效，社会风气健康向上；科教文卫体稳步发展，社会事业全面进步；社会治安良好，社会秩序井然；基础设施较为完善，生态环境优良；经济持续快速健康发展，居民生活水平稳步提高。</w:t>
      </w:r>
    </w:p>
    <w:p>
      <w:pPr>
        <w:ind w:firstLine="562"/>
      </w:pPr>
      <w:r>
        <w:rPr>
          <w:rFonts w:hint="eastAsia"/>
          <w:b/>
        </w:rPr>
        <w:t>卫生创建：</w:t>
      </w:r>
      <w:r>
        <w:rPr>
          <w:rFonts w:hint="eastAsia"/>
        </w:rPr>
        <w:t>市容环境卫生达到《城市容貌标准》要求。建成数字化城管系统，并正常运行。城市主次干道和街巷路面平整，主要街道无乱张贴、乱涂写、乱设摊点情况，无乱扔、乱吐现象，废物箱等垃圾收集容器配置齐全，城区无卫生死角。城市河道、湖泊等水面清洁，岸坡整洁，无垃圾杂物。建成区绿化覆盖率≥36%，人均公园绿地面积不断扩大。城市功能照明完善，城市道路装灯率达到100%。生活垃圾收集运输体系完善，垃圾、粪便收集运输容器、车辆等设备设施全面实现密闭化，垃圾、粪便日产日清。主要街道保洁时间不低于16小时，一般街道保洁时间不低于12小时。建筑工地管理符合《建筑施工现场环境与卫生标准》要求。待建工地管理到位，规范围挡，无乱倒垃圾和乱搭乱建现象，在建工地实现六个1</w:t>
      </w:r>
      <w:r>
        <w:t>00%</w:t>
      </w:r>
      <w:r>
        <w:rPr>
          <w:rFonts w:hint="eastAsia"/>
        </w:rPr>
        <w:t>，全面化解扬尘污染风险。生活垃圾、污水、粪便无害化处理设施建设、管理和污染防治符合国家有关法律、法规及标准要求。推行生活垃圾分类收集处理，餐厨垃圾初步实现分类处理和管理，建筑垃圾得到有效处置。生活垃圾转运站、公共厕所等环卫设施符合《城镇环境卫生设施设置标准》、《城市公共厕所卫生标准》等要求，数量充足，布局合理，管理规范。</w:t>
      </w:r>
    </w:p>
    <w:p>
      <w:pPr>
        <w:ind w:firstLine="562"/>
      </w:pPr>
      <w:r>
        <w:rPr>
          <w:rFonts w:hint="eastAsia"/>
          <w:b/>
          <w:bCs/>
        </w:rPr>
        <w:t>环保模范：</w:t>
      </w:r>
      <w:r>
        <w:rPr>
          <w:rFonts w:hint="eastAsia"/>
        </w:rPr>
        <w:t>编制省级环保模范城市创建方案，环境综合治理定量指标进入全省前列，环境保护投资指数大于1.5%，环境质量、环境建设、环境管理全面加强，考核指标达到省级环保模范城市标准。</w:t>
      </w:r>
    </w:p>
    <w:p>
      <w:pPr>
        <w:ind w:firstLine="562"/>
        <w:rPr>
          <w:b/>
        </w:rPr>
      </w:pPr>
      <w:r>
        <w:rPr>
          <w:rFonts w:hint="eastAsia"/>
          <w:b/>
        </w:rPr>
        <w:t>园林城市创建：</w:t>
      </w:r>
      <w:r>
        <w:rPr>
          <w:rFonts w:hint="eastAsia"/>
          <w:bCs/>
        </w:rPr>
        <w:t>健全城市园林和城市绿化监管体系，建立绿线管理、绿地建设、养护管理、城市生态保护、名木古树保护、义务植树等方面的规章制度；建设城市园林绿化数据库及监管平台，利用遥感或其它动态信息，对城市各类绿地实时监管。</w:t>
      </w:r>
    </w:p>
    <w:p>
      <w:pPr>
        <w:ind w:firstLine="562"/>
      </w:pPr>
      <w:r>
        <w:rPr>
          <w:rFonts w:hint="eastAsia"/>
          <w:b/>
        </w:rPr>
        <w:t xml:space="preserve">全域旅游创建: </w:t>
      </w:r>
      <w:r>
        <w:rPr>
          <w:rFonts w:hint="eastAsia"/>
          <w:bCs/>
        </w:rPr>
        <w:t>编制和实施全域旅游规划，</w:t>
      </w:r>
      <w:r>
        <w:rPr>
          <w:rFonts w:hint="eastAsia"/>
        </w:rPr>
        <w:t>按照国家全域旅游示范县创建标准，推进景区景点设施建设，加快全域旅游基础设施配套建设。</w:t>
      </w:r>
    </w:p>
    <w:p>
      <w:pPr>
        <w:pStyle w:val="6"/>
        <w:ind w:firstLine="562"/>
      </w:pPr>
      <w:r>
        <w:rPr>
          <w:rFonts w:hint="eastAsia"/>
        </w:rPr>
        <w:t>5.1.3 重点项目</w:t>
      </w:r>
    </w:p>
    <w:p>
      <w:pPr>
        <w:ind w:firstLine="560"/>
      </w:pPr>
      <w:r>
        <w:rPr>
          <w:rFonts w:hint="eastAsia"/>
        </w:rPr>
        <w:t>从公共服务设施、环境卫生设施、市政公用设施、产业培育设施四个方向推进重点项目持续发力。公共服务设施提标扩面方面，重点推进医疗卫生设施、教育设施、养老托育设施、文旅体育设施、社会福利设施、社区综合服务设施6项建设任务。主要内容包括推进县级综合医院（含中医院）提标改造、县级疾控中心标准化，完善县级妇幼机构；新建或改扩建公办幼儿园，改善义务教育学校教学和生活设施；加快建设特困人员供养服务设施，建设综合性托育机构和社区托育设施；改造商业步行街、地方特色街区，改扩建或新建县公共图书馆、文化馆、博物馆，新建游客服务中心、旅游道路和旅游厕所等配套设施；提升儿童福利设施和未成年人救助保护设施水平，建设残疾人康复和托养设施；统筹卫生、就业、社保、文体、退役军人服务、儿童关爱保护等公共服务项目，打造综合性多功能社区服务站；在推进环境卫生设施提级扩能方面，重点推进垃圾无害化资源化处理设施、污水集中处理设施、县城公共厕所及农村无害化卫生户厕3项建设任务。主要内容包括逐步建立分类投放、收集、运输、处理的生活垃圾处理系统，建设生活垃圾焚烧终端处理设施，建立餐厨垃圾和建筑垃圾等回收及再生利用体系，建设医疗废物和危险废物处理设施；积极推进管网“雨污分流”，结合实际对现有污水处理厂进行扩容提标改造；配建补建固定公共厕所或移动式公共厕所，改造老旧公共厕所，开展农村无害化卫生户厕改造建设；在推进市政公用设施提档升级方面，重点推进市政交通设施、市政管网设施、配送投递设施、县城智慧化改造、更新改造老旧小区5项建设任务。主要内容包括布局建设公共停车场和配建停车场，推进客运站改扩建或迁建新建；更新改造老旧小区供水管网，逐步改善供水能力；加快建设液化天然气、液化石油气局域供气网络，推进燃煤锅炉集中改造；建设统一分拨中转的公共配送中心，发展共同配送等新模式；推进5G网络覆盖，建设深度覆盖的物联网，推行“政务服务一网通办”“云上政务”；完善小区水电气路信等配套基础设施和养老托育、停车、便民市场等公共服务设施。</w:t>
      </w:r>
    </w:p>
    <w:p>
      <w:pPr>
        <w:pStyle w:val="5"/>
        <w:ind w:firstLine="643"/>
      </w:pPr>
      <w:bookmarkStart w:id="197" w:name="_Toc6102"/>
      <w:r>
        <w:rPr>
          <w:rFonts w:hint="eastAsia"/>
        </w:rPr>
        <w:t>第二节 完善路网结构，打造人车畅行县城</w:t>
      </w:r>
      <w:bookmarkEnd w:id="197"/>
    </w:p>
    <w:p>
      <w:pPr>
        <w:pStyle w:val="6"/>
        <w:ind w:firstLine="562"/>
      </w:pPr>
      <w:r>
        <w:rPr>
          <w:rFonts w:hint="eastAsia"/>
        </w:rPr>
        <w:t>5.2.1.主要目标</w:t>
      </w:r>
    </w:p>
    <w:p>
      <w:pPr>
        <w:ind w:firstLine="560"/>
      </w:pPr>
      <w:r>
        <w:rPr>
          <w:rFonts w:hint="eastAsia"/>
        </w:rPr>
        <w:t>城市交通状况良好，保持基本畅通水平，城市交通拥堵指数在4以下，居民一次出行平均需要多花费的时间控制在0.5倍以下，做到人畅其行车畅其流。</w:t>
      </w:r>
    </w:p>
    <w:p>
      <w:pPr>
        <w:pStyle w:val="6"/>
        <w:ind w:firstLine="562"/>
      </w:pPr>
      <w:r>
        <w:rPr>
          <w:rFonts w:hint="eastAsia"/>
        </w:rPr>
        <w:t>5.2.2 主要任务</w:t>
      </w:r>
    </w:p>
    <w:p>
      <w:pPr>
        <w:ind w:firstLine="560"/>
      </w:pPr>
      <w:r>
        <w:rPr>
          <w:rFonts w:hint="eastAsia"/>
        </w:rPr>
        <w:t>落实 “加接口、增通道、疏堵点、扩梗道、建车场、提智能” 一系列任务措施，彻底解决车辆密集，交通拥堵、停车困难的情况。</w:t>
      </w:r>
    </w:p>
    <w:p>
      <w:pPr>
        <w:pStyle w:val="6"/>
        <w:ind w:firstLine="562"/>
      </w:pPr>
      <w:r>
        <w:rPr>
          <w:rFonts w:hint="eastAsia"/>
        </w:rPr>
        <w:t>5.2.3 重点项目</w:t>
      </w:r>
    </w:p>
    <w:p>
      <w:pPr>
        <w:ind w:firstLine="562"/>
      </w:pPr>
      <w:r>
        <w:rPr>
          <w:rFonts w:hint="eastAsia"/>
          <w:b/>
        </w:rPr>
        <w:t>加接口：</w:t>
      </w:r>
      <w:r>
        <w:rPr>
          <w:rFonts w:hint="eastAsia"/>
        </w:rPr>
        <w:t>增加出入县城通道建设，加快推进沪昆高速隆回东互通、呼北高速城北互通、邵阳西城快线县城接驳口、邵阳北高铁站连接线入境接驳口、G320国道改线入境接驳口等县城对外连接通道建设，打通县城东西南北多向出入口通道；</w:t>
      </w:r>
    </w:p>
    <w:p>
      <w:pPr>
        <w:ind w:firstLine="562"/>
      </w:pPr>
      <w:r>
        <w:rPr>
          <w:rFonts w:hint="eastAsia"/>
          <w:b/>
        </w:rPr>
        <w:t>增通道：</w:t>
      </w:r>
      <w:r>
        <w:rPr>
          <w:rFonts w:hint="eastAsia"/>
        </w:rPr>
        <w:t>新建兴隆大道、辰河路、立新路、龙门路等城市道路，总长15公里，新建和续建七里大桥、青丰大桥、江湾大桥、凤仙庵大桥等四座桥梁，增加县城路网通道；</w:t>
      </w:r>
    </w:p>
    <w:p>
      <w:pPr>
        <w:ind w:firstLine="562"/>
      </w:pPr>
      <w:r>
        <w:rPr>
          <w:rFonts w:hint="eastAsia"/>
          <w:b/>
        </w:rPr>
        <w:t>疏堵点：</w:t>
      </w:r>
      <w:r>
        <w:rPr>
          <w:rFonts w:hint="eastAsia"/>
        </w:rPr>
        <w:t>对隆回大道辰河路口、G320国道澄水路口、九龙路公园路口、九龙路麻雀坡路口、桃洪路长岭路路口、桃洪路大桥路路口、桃洪路朝阳路路口、桃洪路桃花路路口、桃洪路万和路口、赧水北路大桥路路口、赧水北路紫霞路路口、紫霞路桃花路路口、紫霞路万和路口等堵点进行改造，改建拐弯专用道，提升通行功能，缓解拥堵。</w:t>
      </w:r>
    </w:p>
    <w:p>
      <w:pPr>
        <w:ind w:firstLine="562"/>
      </w:pPr>
      <w:r>
        <w:rPr>
          <w:rFonts w:hint="eastAsia"/>
          <w:b/>
        </w:rPr>
        <w:t>扩梗道：</w:t>
      </w:r>
      <w:r>
        <w:rPr>
          <w:rFonts w:hint="eastAsia"/>
        </w:rPr>
        <w:t>对九龙路、桃洪西路、沿江北路、桃花路、紫霞路、朝阳路等城市梗阻道路进行提质改造，总长15公里，城镇道路等级划分为主干路、次干路、支路3 级。</w:t>
      </w:r>
    </w:p>
    <w:p>
      <w:pPr>
        <w:ind w:firstLine="562"/>
      </w:pPr>
      <w:r>
        <w:rPr>
          <w:rFonts w:hint="eastAsia"/>
          <w:b/>
        </w:rPr>
        <w:t>建车场：</w:t>
      </w:r>
      <w:r>
        <w:rPr>
          <w:rFonts w:hint="eastAsia"/>
        </w:rPr>
        <w:t>主要内容包括布局建设公共停车场和配建停车场，推进客运站改扩建或迁建新建；在城东、城中、城西建设4处立体停车场，建筑面积30000平米，新增县城停车位2000个；</w:t>
      </w:r>
    </w:p>
    <w:p>
      <w:pPr>
        <w:ind w:firstLine="562"/>
        <w:rPr>
          <w:b/>
          <w:bCs/>
        </w:rPr>
      </w:pPr>
      <w:r>
        <w:rPr>
          <w:rFonts w:hint="eastAsia"/>
          <w:b/>
        </w:rPr>
        <w:t>提智能：</w:t>
      </w:r>
      <w:r>
        <w:rPr>
          <w:rFonts w:hint="eastAsia"/>
        </w:rPr>
        <w:t>提升智慧交通水平，以信息网络为基础，聚焦智慧隆回建设，大力实施停靠站提质改造、县城区综合停车场建设、治超信息平台和不停车检测系统建设、充电桩建设等项目，构建智能交通管理信息中心，规划建设一批服务站、加油站、加气站、充电桩等综合服务设施，完成充电站15座，直、交流充电桩15000个，2500ＫＶ变压器150个，完成城东、城中、城西4处智慧立体停车场建设，推进智慧交通全县覆盖。</w:t>
      </w:r>
      <w:r>
        <w:rPr>
          <w:rFonts w:hint="eastAsia" w:ascii="仿宋" w:hAnsi="仿宋" w:cs="仿宋"/>
          <w:szCs w:val="32"/>
        </w:rPr>
        <w:t>　　</w:t>
      </w:r>
    </w:p>
    <w:tbl>
      <w:tblPr>
        <w:tblStyle w:val="23"/>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4BACC6" w:sz="8" w:space="0"/>
              <w:left w:val="single" w:color="4BACC6" w:sz="8" w:space="0"/>
              <w:bottom w:val="single" w:color="FFFFFF" w:sz="18" w:space="0"/>
              <w:right w:val="single" w:color="4BACC6" w:sz="8" w:space="0"/>
            </w:tcBorders>
            <w:shd w:val="clear" w:color="auto" w:fill="4BACC6"/>
            <w:vAlign w:val="center"/>
          </w:tcPr>
          <w:p>
            <w:pPr>
              <w:pStyle w:val="34"/>
              <w:spacing w:line="400" w:lineRule="exact"/>
              <w:ind w:firstLine="2530" w:firstLineChars="900"/>
              <w:outlineLvl w:val="3"/>
              <w:rPr>
                <w:rFonts w:eastAsia="楷体_GB2312"/>
                <w:b/>
                <w:bCs/>
                <w:color w:val="FFFFFF"/>
                <w:kern w:val="0"/>
                <w:szCs w:val="28"/>
              </w:rPr>
            </w:pPr>
            <w:r>
              <w:rPr>
                <w:rFonts w:hint="eastAsia" w:eastAsia="楷体"/>
                <w:b/>
                <w:bCs/>
                <w:color w:val="FFFFFF"/>
                <w:kern w:val="0"/>
                <w:szCs w:val="28"/>
              </w:rPr>
              <w:t>专栏3 城市路网</w:t>
            </w:r>
            <w:r>
              <w:rPr>
                <w:rFonts w:eastAsia="楷体"/>
                <w:b/>
                <w:bCs/>
                <w:color w:val="FFFFFF"/>
                <w:kern w:val="0"/>
                <w:szCs w:val="28"/>
              </w:rPr>
              <w:t>重点工程</w:t>
            </w:r>
          </w:p>
        </w:tc>
      </w:tr>
      <w:tr>
        <w:tblPrEx>
          <w:tblCellMar>
            <w:top w:w="0" w:type="dxa"/>
            <w:left w:w="108" w:type="dxa"/>
            <w:bottom w:w="0" w:type="dxa"/>
            <w:right w:w="108" w:type="dxa"/>
          </w:tblCellMar>
        </w:tblPrEx>
        <w:trPr>
          <w:jc w:val="center"/>
        </w:trPr>
        <w:tc>
          <w:tcPr>
            <w:tcW w:w="8778" w:type="dxa"/>
            <w:tcBorders>
              <w:top w:val="single" w:color="FFFFFF" w:sz="18" w:space="0"/>
              <w:left w:val="single" w:color="4BACC6" w:sz="8" w:space="0"/>
              <w:bottom w:val="single" w:color="4BACC6" w:sz="8" w:space="0"/>
              <w:right w:val="single" w:color="4BACC6" w:sz="8" w:space="0"/>
            </w:tcBorders>
            <w:shd w:val="clear" w:color="auto" w:fill="B7DDE8"/>
            <w:vAlign w:val="center"/>
          </w:tcPr>
          <w:p>
            <w:pPr>
              <w:ind w:firstLine="422"/>
              <w:rPr>
                <w:sz w:val="21"/>
                <w:szCs w:val="21"/>
              </w:rPr>
            </w:pPr>
            <w:r>
              <w:rPr>
                <w:rFonts w:hint="eastAsia"/>
                <w:b/>
                <w:sz w:val="21"/>
                <w:szCs w:val="21"/>
              </w:rPr>
              <w:t>入口提建工程：</w:t>
            </w:r>
            <w:r>
              <w:rPr>
                <w:rFonts w:hint="eastAsia"/>
                <w:sz w:val="21"/>
                <w:szCs w:val="21"/>
              </w:rPr>
              <w:t>增加出入县城通道建设，加快推进沪昆高速隆回东互通、呼北高速城北互通、邵阳西城快线县城接驳口、邵阳北高铁站连接线入境接驳口、G320国道改线入境接驳口等县城对外连接通道建设，打通县城东西南北多向出入口通道；</w:t>
            </w:r>
          </w:p>
          <w:p>
            <w:pPr>
              <w:ind w:firstLine="422"/>
              <w:rPr>
                <w:sz w:val="21"/>
                <w:szCs w:val="21"/>
              </w:rPr>
            </w:pPr>
            <w:r>
              <w:rPr>
                <w:rFonts w:hint="eastAsia"/>
                <w:b/>
                <w:sz w:val="21"/>
                <w:szCs w:val="21"/>
              </w:rPr>
              <w:t>通道新建工程：</w:t>
            </w:r>
            <w:r>
              <w:rPr>
                <w:rFonts w:hint="eastAsia"/>
                <w:sz w:val="21"/>
                <w:szCs w:val="21"/>
              </w:rPr>
              <w:t>新建兴隆大道、辰河路、立新路、长岭路等城市道路，总长15公里，新建和续建七里大桥、青丰大桥、江湾大桥、凤仙庵大桥等四座桥梁，增加县城路网通道；</w:t>
            </w:r>
          </w:p>
          <w:p>
            <w:pPr>
              <w:ind w:firstLine="422"/>
              <w:rPr>
                <w:sz w:val="21"/>
                <w:szCs w:val="21"/>
              </w:rPr>
            </w:pPr>
            <w:r>
              <w:rPr>
                <w:rFonts w:hint="eastAsia"/>
                <w:b/>
                <w:sz w:val="21"/>
                <w:szCs w:val="21"/>
              </w:rPr>
              <w:t>堵点改造工程：</w:t>
            </w:r>
            <w:r>
              <w:rPr>
                <w:rFonts w:hint="eastAsia"/>
                <w:sz w:val="21"/>
                <w:szCs w:val="21"/>
              </w:rPr>
              <w:t>对隆回大道辰河路扣、G320国道澄水路口、九龙路公园路口、九龙路麻雀坡路口、桃洪路长岭路路口、桃洪路大桥路路口、桃洪路朝阳路路口、桃洪路桃花路路口、桃洪路万和路口、赧水北路大桥路路口、赧水北路紫霞路路口、紫霞路桃花路路口、紫霞路万和路口等堵点进行改造，改建拐弯专用道，提升通行功能，缓解拥堵。</w:t>
            </w:r>
          </w:p>
          <w:p>
            <w:pPr>
              <w:ind w:firstLine="422"/>
              <w:rPr>
                <w:sz w:val="21"/>
                <w:szCs w:val="21"/>
              </w:rPr>
            </w:pPr>
            <w:r>
              <w:rPr>
                <w:rFonts w:hint="eastAsia"/>
                <w:b/>
                <w:sz w:val="21"/>
                <w:szCs w:val="21"/>
              </w:rPr>
              <w:t>梗道扩建工程：</w:t>
            </w:r>
            <w:r>
              <w:rPr>
                <w:rFonts w:hint="eastAsia"/>
                <w:sz w:val="21"/>
                <w:szCs w:val="21"/>
              </w:rPr>
              <w:t>对九龙路、桃洪西路、赧水北路、桃花路、紫霞路、朝阳路等城市梗阻道路进行提质改造，总长15公里，城镇道路等级划分为主干路、次干路、支路3 级。</w:t>
            </w:r>
          </w:p>
          <w:p>
            <w:pPr>
              <w:ind w:firstLine="422"/>
              <w:rPr>
                <w:sz w:val="21"/>
                <w:szCs w:val="21"/>
              </w:rPr>
            </w:pPr>
            <w:r>
              <w:rPr>
                <w:rFonts w:hint="eastAsia"/>
                <w:b/>
                <w:sz w:val="21"/>
                <w:szCs w:val="21"/>
              </w:rPr>
              <w:t>车场配套工程：</w:t>
            </w:r>
            <w:r>
              <w:rPr>
                <w:rFonts w:hint="eastAsia"/>
                <w:sz w:val="21"/>
                <w:szCs w:val="21"/>
              </w:rPr>
              <w:t>主要内容包括布局建设公共停车场和配建停车场，推进客运站改扩建或迁建新建；在城东城中、城西建设4处立体停车场，建筑面积30000平米，新增县城停车位2000个；</w:t>
            </w:r>
          </w:p>
          <w:p>
            <w:pPr>
              <w:snapToGrid w:val="0"/>
              <w:spacing w:line="360" w:lineRule="exact"/>
              <w:ind w:firstLine="422"/>
              <w:rPr>
                <w:rFonts w:eastAsia="楷体"/>
                <w:color w:val="000000"/>
                <w:kern w:val="0"/>
                <w:sz w:val="21"/>
                <w:szCs w:val="21"/>
              </w:rPr>
            </w:pPr>
            <w:r>
              <w:rPr>
                <w:rFonts w:hint="eastAsia"/>
                <w:b/>
                <w:sz w:val="21"/>
                <w:szCs w:val="21"/>
              </w:rPr>
              <w:t>交通指挥工程：</w:t>
            </w:r>
            <w:r>
              <w:rPr>
                <w:rFonts w:hint="eastAsia"/>
                <w:sz w:val="21"/>
                <w:szCs w:val="21"/>
              </w:rPr>
              <w:t>提升智慧交通水平，以信息网络为基础，聚焦智慧隆回建设，大力实施停靠站提质改造、县城区综合停车场建设、治超信息平台和不停车检测系统建设、充电桩建设等项目，构建智能交通管理信息中心，规划建设一批服务站、加油站、加气站、充电桩等综合服务设施，完成充电站150座，直、交流充电桩15000个，2500ＫＶ变压器150个，完成城东、城中、城西4处智慧立体停车场建设，推进智慧交通全县覆盖。</w:t>
            </w:r>
          </w:p>
        </w:tc>
      </w:tr>
      <w:bookmarkEnd w:id="193"/>
      <w:bookmarkEnd w:id="194"/>
      <w:bookmarkEnd w:id="195"/>
      <w:bookmarkEnd w:id="196"/>
    </w:tbl>
    <w:p>
      <w:pPr>
        <w:pStyle w:val="5"/>
        <w:ind w:firstLine="643"/>
      </w:pPr>
      <w:bookmarkStart w:id="198" w:name="_Toc29270"/>
      <w:r>
        <w:rPr>
          <w:rFonts w:hint="eastAsia"/>
        </w:rPr>
        <w:t>第三节 配齐市政设施，促进基础提档升级</w:t>
      </w:r>
      <w:bookmarkEnd w:id="198"/>
    </w:p>
    <w:p>
      <w:pPr>
        <w:pStyle w:val="6"/>
        <w:ind w:firstLine="562"/>
      </w:pPr>
      <w:r>
        <w:rPr>
          <w:rFonts w:hint="eastAsia"/>
        </w:rPr>
        <w:t>5.3.1主要目标</w:t>
      </w:r>
    </w:p>
    <w:p>
      <w:pPr>
        <w:ind w:firstLine="560"/>
      </w:pPr>
      <w:r>
        <w:rPr>
          <w:rFonts w:hint="eastAsia"/>
        </w:rPr>
        <w:t>———</w:t>
      </w:r>
      <w:r>
        <w:rPr>
          <w:rFonts w:hint="eastAsia"/>
          <w:b/>
        </w:rPr>
        <w:t>基本民生需求充分保障。</w:t>
      </w:r>
      <w:r>
        <w:rPr>
          <w:rFonts w:hint="eastAsia"/>
        </w:rPr>
        <w:t>以基本民生需求为中心，提高居民的幸福感、获得感。</w:t>
      </w:r>
    </w:p>
    <w:p>
      <w:pPr>
        <w:ind w:firstLine="560"/>
      </w:pPr>
      <w:r>
        <w:rPr>
          <w:rFonts w:hint="eastAsia"/>
        </w:rPr>
        <w:t>———</w:t>
      </w:r>
      <w:r>
        <w:rPr>
          <w:rFonts w:hint="eastAsia"/>
          <w:b/>
        </w:rPr>
        <w:t>城市人居环境持续改善。</w:t>
      </w:r>
      <w:r>
        <w:rPr>
          <w:rFonts w:hint="eastAsia"/>
        </w:rPr>
        <w:t xml:space="preserve">加强城市生态文明建设，营造天蓝水清、城绿地净的城市人居环境，城市水环境质量得到明显改善。 </w:t>
      </w:r>
    </w:p>
    <w:p>
      <w:pPr>
        <w:ind w:firstLine="280" w:firstLineChars="100"/>
      </w:pPr>
      <w:r>
        <w:rPr>
          <w:rFonts w:hint="eastAsia"/>
        </w:rPr>
        <w:t xml:space="preserve">  ———</w:t>
      </w:r>
      <w:r>
        <w:rPr>
          <w:rFonts w:hint="eastAsia"/>
          <w:b/>
        </w:rPr>
        <w:t>城市安全水平显著提升。</w:t>
      </w:r>
      <w:r>
        <w:rPr>
          <w:rFonts w:hint="eastAsia"/>
        </w:rPr>
        <w:t>牢固树立安全发展观，健全市政基础设施公共安全体系。</w:t>
      </w:r>
    </w:p>
    <w:p>
      <w:pPr>
        <w:ind w:firstLine="562"/>
      </w:pPr>
      <w:r>
        <w:rPr>
          <w:rFonts w:hint="eastAsia"/>
          <w:b/>
        </w:rPr>
        <w:t>———绿色智慧引领转型发展。</w:t>
      </w:r>
      <w:r>
        <w:rPr>
          <w:rFonts w:hint="eastAsia"/>
        </w:rPr>
        <w:t>把握城市发展趋势，提升市政基础设施智慧化水平和绿色发展水平，有序推进综合管廊建设。</w:t>
      </w:r>
    </w:p>
    <w:p>
      <w:pPr>
        <w:ind w:firstLine="562"/>
      </w:pPr>
      <w:r>
        <w:rPr>
          <w:rFonts w:hint="eastAsia"/>
          <w:b/>
        </w:rPr>
        <w:t>———城市承载能力全面增强。</w:t>
      </w:r>
      <w:r>
        <w:rPr>
          <w:rFonts w:hint="eastAsia"/>
        </w:rPr>
        <w:t>积极发挥市政基础设施在去产能、去库存、去杠杆、降成本、补短板中的积极作用，提高市政基础设施对拉动经济增长、促进社会繁荣的支撑能力。</w:t>
      </w:r>
    </w:p>
    <w:p>
      <w:pPr>
        <w:pStyle w:val="6"/>
        <w:ind w:firstLine="562"/>
      </w:pPr>
      <w:r>
        <w:rPr>
          <w:rFonts w:hint="eastAsia"/>
        </w:rPr>
        <w:t>5.3.2主要任务</w:t>
      </w:r>
    </w:p>
    <w:p>
      <w:pPr>
        <w:pStyle w:val="34"/>
        <w:spacing w:line="560" w:lineRule="exact"/>
        <w:ind w:firstLine="560"/>
      </w:pPr>
      <w:r>
        <w:rPr>
          <w:rFonts w:hint="eastAsia"/>
        </w:rPr>
        <w:t>推进市政公用设施提档升级，重点推进城市供水设施、市政管网设施、配送投递设施、燃气和能源供应设施改造、排水防涝设施、污水处理系统、垃圾处理系统、通信网络升级建设、城市照明升级系统建设等“十大市政工程”建设任务。</w:t>
      </w:r>
    </w:p>
    <w:p>
      <w:pPr>
        <w:pStyle w:val="6"/>
        <w:ind w:firstLine="562"/>
      </w:pPr>
      <w:r>
        <w:rPr>
          <w:rFonts w:hint="eastAsia"/>
        </w:rPr>
        <w:t>5.3.3重点项目</w:t>
      </w:r>
    </w:p>
    <w:p>
      <w:pPr>
        <w:pStyle w:val="34"/>
        <w:spacing w:line="560" w:lineRule="exact"/>
        <w:ind w:firstLine="560"/>
      </w:pPr>
      <w:r>
        <w:rPr>
          <w:rFonts w:hint="eastAsia"/>
        </w:rPr>
        <w:t>主要任务包括新建水源工程，建设木瓜山水库至隆回引水主管70公里，改造九龙路、桃洪西路、沿江北路、桃花路、紫霞路、朝阳路的老旧给水主管网30公里，建成全县智慧水务系统平台，启动县城自来水厂二期（5万吨）扩建工程；完成城市排水专项规划编制、城市排水防涝综合规划的修编，新建城西污水、城南污水处理厂，新建城西片区、城东片区、城北片区和城南片区污水管网100KM，建成G320国道环城南路三八水库排水箱涵工程、金门安置区白毛冲水库排水工程、荷叶塘水库防洪排涝工程，对老城区现有的76.73KM排水管网进行清淤，同时对朝阳路片区、大院里片区、汽车总站片区的6KM排水管网进行提质改造；加快建设长输管网和乡镇管道燃气工程建设；新建垃圾分拣中心，建设生活垃圾无害化全资源处理厂，全面建成城乡垃圾清扫系统、城乡垃圾转运系统、生活垃圾无害化全资源处理系统；建设统一分拨中转的公共配送中心，发展共同配送等新模式；完善县城5G网络并向乡镇延伸，</w:t>
      </w:r>
      <w:r>
        <w:t>在隆回县城新建800个5G基站，建设云计算、大数据、工业互联网、人工智能、物联网等平台和基础配套。</w:t>
      </w:r>
      <w:r>
        <w:rPr>
          <w:rFonts w:hint="eastAsia"/>
        </w:rPr>
        <w:t>建设深度覆盖的物联网，推行“政务服务一网通办”“云上政务”；完善小区水电气路信等配套基础设施和养老托育、停车、便民市场等公共服务设施；完成城市照明专项规划编制，实施道路路灯节能改造，对城市主次道路路灯改造成为绿色节能灯，改造多能合一的智慧灯杆，建设城区亮化夜景及公园、一江两岸、地标性建筑等重要节点亮化景观建设，建成路灯智能控制系统。</w:t>
      </w:r>
    </w:p>
    <w:tbl>
      <w:tblPr>
        <w:tblStyle w:val="23"/>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4BACC6" w:sz="8" w:space="0"/>
              <w:left w:val="single" w:color="4BACC6" w:sz="8" w:space="0"/>
              <w:bottom w:val="single" w:color="FFFFFF" w:sz="18" w:space="0"/>
              <w:right w:val="single" w:color="4BACC6" w:sz="8" w:space="0"/>
            </w:tcBorders>
            <w:shd w:val="clear" w:color="auto" w:fill="4BACC6"/>
            <w:vAlign w:val="center"/>
          </w:tcPr>
          <w:p>
            <w:pPr>
              <w:pStyle w:val="34"/>
              <w:spacing w:line="400" w:lineRule="exact"/>
              <w:ind w:firstLine="2530" w:firstLineChars="900"/>
              <w:outlineLvl w:val="3"/>
              <w:rPr>
                <w:rFonts w:eastAsia="楷体_GB2312"/>
                <w:b/>
                <w:bCs/>
                <w:color w:val="FFFFFF"/>
                <w:kern w:val="0"/>
                <w:szCs w:val="28"/>
              </w:rPr>
            </w:pPr>
            <w:r>
              <w:rPr>
                <w:rFonts w:hint="eastAsia" w:eastAsia="楷体"/>
                <w:b/>
                <w:bCs/>
                <w:color w:val="FFFFFF"/>
                <w:kern w:val="0"/>
                <w:szCs w:val="28"/>
              </w:rPr>
              <w:t>专栏5 市政设施</w:t>
            </w:r>
            <w:r>
              <w:rPr>
                <w:rFonts w:eastAsia="楷体"/>
                <w:b/>
                <w:bCs/>
                <w:color w:val="FFFFFF"/>
                <w:kern w:val="0"/>
                <w:szCs w:val="28"/>
              </w:rPr>
              <w:t>重点工程</w:t>
            </w:r>
          </w:p>
        </w:tc>
      </w:tr>
      <w:tr>
        <w:tblPrEx>
          <w:tblCellMar>
            <w:top w:w="0" w:type="dxa"/>
            <w:left w:w="108" w:type="dxa"/>
            <w:bottom w:w="0" w:type="dxa"/>
            <w:right w:w="108" w:type="dxa"/>
          </w:tblCellMar>
        </w:tblPrEx>
        <w:trPr>
          <w:jc w:val="center"/>
        </w:trPr>
        <w:tc>
          <w:tcPr>
            <w:tcW w:w="8778" w:type="dxa"/>
            <w:tcBorders>
              <w:top w:val="single" w:color="FFFFFF" w:sz="18" w:space="0"/>
              <w:left w:val="single" w:color="4BACC6" w:sz="8" w:space="0"/>
              <w:bottom w:val="single" w:color="4BACC6" w:sz="8" w:space="0"/>
              <w:right w:val="single" w:color="4BACC6" w:sz="8" w:space="0"/>
            </w:tcBorders>
            <w:shd w:val="clear" w:color="auto" w:fill="B7DDE8"/>
            <w:vAlign w:val="center"/>
          </w:tcPr>
          <w:p>
            <w:pPr>
              <w:snapToGrid w:val="0"/>
              <w:spacing w:line="360" w:lineRule="exact"/>
              <w:ind w:firstLine="422"/>
              <w:jc w:val="left"/>
              <w:rPr>
                <w:rFonts w:eastAsia="楷体"/>
                <w:color w:val="000000"/>
                <w:kern w:val="0"/>
                <w:sz w:val="21"/>
                <w:szCs w:val="21"/>
              </w:rPr>
            </w:pPr>
            <w:r>
              <w:rPr>
                <w:rFonts w:hint="eastAsia" w:eastAsia="楷体"/>
                <w:b/>
                <w:color w:val="000000"/>
                <w:kern w:val="0"/>
                <w:sz w:val="21"/>
                <w:szCs w:val="21"/>
              </w:rPr>
              <w:t>城市供水工程。</w:t>
            </w:r>
            <w:r>
              <w:rPr>
                <w:rFonts w:hint="eastAsia" w:eastAsia="楷体"/>
                <w:color w:val="000000"/>
                <w:kern w:val="0"/>
                <w:sz w:val="21"/>
                <w:szCs w:val="21"/>
              </w:rPr>
              <w:t>新建木瓜山水库至隆回引水主管70公里，改造九龙路、桃洪西路、沿江北路、桃花路、紫霞路、朝阳路的老旧给水管网30公里，建成全县智慧水务系统平台。</w:t>
            </w:r>
          </w:p>
          <w:p>
            <w:pPr>
              <w:snapToGrid w:val="0"/>
              <w:spacing w:line="360" w:lineRule="exact"/>
              <w:ind w:firstLine="422"/>
              <w:jc w:val="left"/>
              <w:rPr>
                <w:rFonts w:eastAsia="楷体"/>
                <w:b/>
                <w:color w:val="000000"/>
                <w:kern w:val="0"/>
                <w:sz w:val="21"/>
                <w:szCs w:val="21"/>
              </w:rPr>
            </w:pPr>
            <w:r>
              <w:rPr>
                <w:rFonts w:eastAsia="楷体"/>
                <w:b/>
                <w:color w:val="000000"/>
                <w:kern w:val="0"/>
                <w:sz w:val="21"/>
                <w:szCs w:val="21"/>
              </w:rPr>
              <w:t>市政管网工程</w:t>
            </w:r>
            <w:r>
              <w:rPr>
                <w:rFonts w:eastAsia="楷体"/>
                <w:color w:val="000000"/>
                <w:kern w:val="0"/>
                <w:sz w:val="21"/>
                <w:szCs w:val="21"/>
              </w:rPr>
              <w:t>。建设老城区、城北新城地下综合管廊，综合管廊总长5公里。升级改造九龙路、桃洪西路、沿江北路、桃花路、紫霞路、朝阳路的老旧给水管网30km，全面提升县城市政管网服务能力。</w:t>
            </w:r>
          </w:p>
          <w:p>
            <w:pPr>
              <w:snapToGrid w:val="0"/>
              <w:spacing w:line="360" w:lineRule="exact"/>
              <w:ind w:firstLine="422"/>
              <w:jc w:val="left"/>
              <w:rPr>
                <w:rFonts w:eastAsia="楷体"/>
                <w:color w:val="000000"/>
                <w:kern w:val="0"/>
                <w:sz w:val="21"/>
                <w:szCs w:val="21"/>
              </w:rPr>
            </w:pPr>
            <w:r>
              <w:rPr>
                <w:rFonts w:eastAsia="楷体"/>
                <w:b/>
                <w:color w:val="000000"/>
                <w:kern w:val="0"/>
                <w:sz w:val="21"/>
                <w:szCs w:val="21"/>
              </w:rPr>
              <w:t>城市路网工程。</w:t>
            </w:r>
            <w:r>
              <w:rPr>
                <w:rFonts w:eastAsia="楷体"/>
                <w:color w:val="000000"/>
                <w:kern w:val="0"/>
                <w:sz w:val="21"/>
                <w:szCs w:val="21"/>
              </w:rPr>
              <w:t>新建兴隆大道、环城北路西段、辰河路、人民路、立新路、伏龙江路北段延伸段、长岭路、隆回大道东段、环城南路园区段等城市道路9条，总长30km；新建七里大桥、青</w:t>
            </w:r>
            <w:r>
              <w:rPr>
                <w:rFonts w:hint="eastAsia" w:eastAsia="楷体"/>
                <w:color w:val="000000"/>
                <w:kern w:val="0"/>
                <w:sz w:val="21"/>
                <w:szCs w:val="21"/>
              </w:rPr>
              <w:t>丰</w:t>
            </w:r>
            <w:r>
              <w:rPr>
                <w:rFonts w:eastAsia="楷体"/>
                <w:color w:val="000000"/>
                <w:kern w:val="0"/>
                <w:sz w:val="21"/>
                <w:szCs w:val="21"/>
              </w:rPr>
              <w:t>大桥、凤仙庵桥、江湾大桥等城市桥梁4座；对九龙路、桃洪</w:t>
            </w:r>
            <w:r>
              <w:rPr>
                <w:rFonts w:hint="eastAsia" w:eastAsia="楷体"/>
                <w:color w:val="000000"/>
                <w:kern w:val="0"/>
                <w:sz w:val="21"/>
                <w:szCs w:val="21"/>
              </w:rPr>
              <w:t>西</w:t>
            </w:r>
            <w:r>
              <w:rPr>
                <w:rFonts w:eastAsia="楷体"/>
                <w:color w:val="000000"/>
                <w:kern w:val="0"/>
                <w:sz w:val="21"/>
                <w:szCs w:val="21"/>
              </w:rPr>
              <w:t>路、</w:t>
            </w:r>
            <w:r>
              <w:rPr>
                <w:rFonts w:hint="eastAsia" w:eastAsia="楷体"/>
                <w:color w:val="000000"/>
                <w:kern w:val="0"/>
                <w:sz w:val="21"/>
                <w:szCs w:val="21"/>
              </w:rPr>
              <w:t>赧水</w:t>
            </w:r>
            <w:r>
              <w:rPr>
                <w:rFonts w:eastAsia="楷体"/>
                <w:color w:val="000000"/>
                <w:kern w:val="0"/>
                <w:sz w:val="21"/>
                <w:szCs w:val="21"/>
              </w:rPr>
              <w:t>北路、桃花路、紫霞路、朝阳路等6条城市道路进行提质改造，总长度30km。</w:t>
            </w:r>
          </w:p>
          <w:p>
            <w:pPr>
              <w:snapToGrid w:val="0"/>
              <w:spacing w:line="360" w:lineRule="exact"/>
              <w:ind w:firstLine="422"/>
              <w:rPr>
                <w:rFonts w:eastAsia="楷体"/>
                <w:color w:val="000000"/>
                <w:kern w:val="0"/>
                <w:sz w:val="21"/>
                <w:szCs w:val="21"/>
              </w:rPr>
            </w:pPr>
            <w:r>
              <w:rPr>
                <w:rFonts w:hint="eastAsia" w:eastAsia="楷体"/>
                <w:b/>
                <w:color w:val="000000"/>
                <w:kern w:val="0"/>
                <w:sz w:val="21"/>
                <w:szCs w:val="21"/>
              </w:rPr>
              <w:t>配送投递工程。</w:t>
            </w:r>
            <w:r>
              <w:rPr>
                <w:rFonts w:hint="eastAsia" w:eastAsia="楷体"/>
                <w:color w:val="000000"/>
                <w:kern w:val="0"/>
                <w:sz w:val="21"/>
                <w:szCs w:val="21"/>
              </w:rPr>
              <w:t>建设县城配送平台，利用</w:t>
            </w:r>
            <w:r>
              <w:rPr>
                <w:rFonts w:eastAsia="楷体"/>
                <w:color w:val="000000"/>
                <w:kern w:val="0"/>
                <w:sz w:val="21"/>
                <w:szCs w:val="21"/>
              </w:rPr>
              <w:t>物流网等技术融合，力争在大数据与产业及公共服务领域融合上取得新突破</w:t>
            </w:r>
            <w:r>
              <w:rPr>
                <w:rFonts w:hint="eastAsia" w:eastAsia="楷体"/>
                <w:color w:val="000000"/>
                <w:kern w:val="0"/>
                <w:sz w:val="21"/>
                <w:szCs w:val="21"/>
              </w:rPr>
              <w:t>，建设深度覆盖的物联网。</w:t>
            </w:r>
          </w:p>
          <w:p>
            <w:pPr>
              <w:snapToGrid w:val="0"/>
              <w:spacing w:line="360" w:lineRule="exact"/>
              <w:ind w:firstLine="422"/>
              <w:rPr>
                <w:rFonts w:eastAsia="楷体"/>
                <w:color w:val="000000"/>
                <w:kern w:val="0"/>
                <w:sz w:val="21"/>
                <w:szCs w:val="21"/>
              </w:rPr>
            </w:pPr>
            <w:r>
              <w:rPr>
                <w:rFonts w:hint="eastAsia" w:eastAsia="楷体"/>
                <w:b/>
                <w:color w:val="000000"/>
                <w:kern w:val="0"/>
                <w:sz w:val="21"/>
                <w:szCs w:val="21"/>
              </w:rPr>
              <w:t>通信网络升级工程。</w:t>
            </w:r>
            <w:r>
              <w:rPr>
                <w:rFonts w:eastAsia="楷体"/>
                <w:color w:val="000000"/>
                <w:kern w:val="0"/>
                <w:sz w:val="21"/>
                <w:szCs w:val="21"/>
              </w:rPr>
              <w:t>在隆回县城新建800个5G基站，建设云计算、大数据、工业互联网、人工智能、物联网等平台和基础配套。</w:t>
            </w:r>
            <w:r>
              <w:rPr>
                <w:rFonts w:hint="eastAsia" w:eastAsia="楷体"/>
                <w:color w:val="000000"/>
                <w:kern w:val="0"/>
                <w:sz w:val="21"/>
                <w:szCs w:val="21"/>
              </w:rPr>
              <w:t>完善县城5G网络并向乡镇延伸，建设深度覆盖的物联网，推行“政务服务一网通办”“云上政务”。</w:t>
            </w:r>
          </w:p>
          <w:p>
            <w:pPr>
              <w:snapToGrid w:val="0"/>
              <w:spacing w:line="360" w:lineRule="exact"/>
              <w:ind w:firstLine="422"/>
              <w:rPr>
                <w:rFonts w:eastAsia="楷体"/>
                <w:color w:val="000000"/>
                <w:kern w:val="0"/>
                <w:sz w:val="21"/>
                <w:szCs w:val="21"/>
              </w:rPr>
            </w:pPr>
            <w:r>
              <w:rPr>
                <w:rFonts w:hint="eastAsia" w:eastAsia="楷体"/>
                <w:b/>
                <w:color w:val="000000"/>
                <w:kern w:val="0"/>
                <w:sz w:val="21"/>
                <w:szCs w:val="21"/>
              </w:rPr>
              <w:t>燃气能源供应工程。</w:t>
            </w:r>
            <w:r>
              <w:rPr>
                <w:rFonts w:hint="eastAsia" w:eastAsia="楷体"/>
                <w:color w:val="000000"/>
                <w:kern w:val="0"/>
                <w:sz w:val="21"/>
                <w:szCs w:val="21"/>
              </w:rPr>
              <w:t>新建乡镇燃气管网350公里，新建气化邵阳隆回段长输管网50公里，新建末站、储气调峰站、加气站、接收门站、阀室各一座。新建城东110KV变电站，改造老旧小区电网，在车站、停车场、机关院落等公共场所加装快速充电桩。</w:t>
            </w:r>
          </w:p>
          <w:p>
            <w:pPr>
              <w:snapToGrid w:val="0"/>
              <w:spacing w:line="360" w:lineRule="exact"/>
              <w:ind w:firstLine="422"/>
              <w:rPr>
                <w:rFonts w:eastAsia="楷体"/>
                <w:color w:val="000000"/>
                <w:kern w:val="0"/>
                <w:sz w:val="21"/>
                <w:szCs w:val="21"/>
              </w:rPr>
            </w:pPr>
            <w:r>
              <w:rPr>
                <w:rFonts w:hint="eastAsia" w:eastAsia="楷体"/>
                <w:b/>
                <w:color w:val="000000"/>
                <w:kern w:val="0"/>
                <w:sz w:val="21"/>
                <w:szCs w:val="21"/>
              </w:rPr>
              <w:t>排水防涝工程。</w:t>
            </w:r>
            <w:r>
              <w:rPr>
                <w:rFonts w:hint="eastAsia" w:eastAsia="楷体"/>
                <w:color w:val="000000"/>
                <w:kern w:val="0"/>
                <w:sz w:val="21"/>
                <w:szCs w:val="21"/>
              </w:rPr>
              <w:t>完成城市排水专项规划编、城市排水防涝综合规划的修编，建成G320国道环城南路三八水库排水箱涵工程、金门安置区白毛冲水库排水工程、荷叶塘水库防洪排涝工程，对老城区现有的76.73KM排水管网进行清淤，同时对朝阳路片区、大院里片区、汽车总站片区的6KM排水管网进行提质改造。</w:t>
            </w:r>
          </w:p>
          <w:p>
            <w:pPr>
              <w:snapToGrid w:val="0"/>
              <w:spacing w:line="360" w:lineRule="exact"/>
              <w:ind w:firstLine="422"/>
              <w:rPr>
                <w:rFonts w:eastAsia="楷体"/>
                <w:color w:val="000000"/>
                <w:kern w:val="0"/>
                <w:sz w:val="21"/>
                <w:szCs w:val="21"/>
              </w:rPr>
            </w:pPr>
            <w:r>
              <w:rPr>
                <w:rFonts w:hint="eastAsia" w:eastAsia="楷体"/>
                <w:b/>
                <w:color w:val="000000"/>
                <w:kern w:val="0"/>
                <w:sz w:val="21"/>
                <w:szCs w:val="21"/>
              </w:rPr>
              <w:t>污水处理工程。</w:t>
            </w:r>
            <w:r>
              <w:rPr>
                <w:rFonts w:hint="eastAsia" w:eastAsia="楷体"/>
                <w:color w:val="000000"/>
                <w:kern w:val="0"/>
                <w:sz w:val="21"/>
                <w:szCs w:val="21"/>
              </w:rPr>
              <w:t>对县城生活污水处理厂进行提质改造，排放标准由原来的一级B提升至一级A，在城西建成日处理污水量30000吨规模的污水处理厂，配套城西污水管网40公里，县城日处理污水能力达到60000吨，届时，全县城乡污水日处理能力总规模达到13万吨。新建城西污水处理厂、城南污水处理厂，新建城西片区、城东片区、城北片区和城南片区污水管网100KM，建成13个建制镇污水处理设施，建设500-3000吨规模的乡镇污水处理厂13座，建筑面积35000平米，同时配套污水管网180公里，全县乡镇污水处理规模达到7000吨/日；</w:t>
            </w:r>
          </w:p>
          <w:p>
            <w:pPr>
              <w:snapToGrid w:val="0"/>
              <w:spacing w:line="360" w:lineRule="exact"/>
              <w:ind w:firstLine="422"/>
              <w:rPr>
                <w:rFonts w:eastAsia="楷体"/>
                <w:color w:val="000000"/>
                <w:kern w:val="0"/>
                <w:sz w:val="21"/>
                <w:szCs w:val="21"/>
              </w:rPr>
            </w:pPr>
            <w:r>
              <w:rPr>
                <w:rFonts w:hint="eastAsia" w:eastAsia="楷体"/>
                <w:b/>
                <w:color w:val="000000"/>
                <w:kern w:val="0"/>
                <w:sz w:val="21"/>
                <w:szCs w:val="21"/>
              </w:rPr>
              <w:t>垃圾分类处理工程。</w:t>
            </w:r>
            <w:r>
              <w:rPr>
                <w:rFonts w:hint="eastAsia" w:eastAsia="楷体"/>
                <w:color w:val="000000"/>
                <w:kern w:val="0"/>
                <w:sz w:val="21"/>
                <w:szCs w:val="21"/>
              </w:rPr>
              <w:t>新建垃圾分拣中心，建设生活垃圾无害化全资源处理厂，全面建成城乡垃圾清扫系统、城乡垃圾转运系统、生活垃圾无害化全资源处理系统。</w:t>
            </w:r>
          </w:p>
          <w:p>
            <w:pPr>
              <w:snapToGrid w:val="0"/>
              <w:spacing w:line="360" w:lineRule="exact"/>
              <w:ind w:firstLine="422"/>
              <w:rPr>
                <w:rFonts w:eastAsia="楷体"/>
                <w:color w:val="000000"/>
                <w:kern w:val="0"/>
                <w:sz w:val="21"/>
                <w:szCs w:val="21"/>
              </w:rPr>
            </w:pPr>
            <w:r>
              <w:rPr>
                <w:rFonts w:hint="eastAsia" w:eastAsia="楷体"/>
                <w:b/>
                <w:color w:val="000000"/>
                <w:kern w:val="0"/>
                <w:sz w:val="21"/>
                <w:szCs w:val="21"/>
              </w:rPr>
              <w:t>城市亮化景观工程。</w:t>
            </w:r>
            <w:r>
              <w:rPr>
                <w:rFonts w:hint="eastAsia" w:eastAsia="楷体"/>
                <w:color w:val="000000"/>
                <w:kern w:val="0"/>
                <w:sz w:val="21"/>
                <w:szCs w:val="21"/>
              </w:rPr>
              <w:t>完成城市照明专项规划编制，实施道路路灯节能改造，对城市主次道路路灯由钠灯、金卤灯改造成为绿色节能灯，建设城区亮化夜景及公园、一江两岸、地标性建筑等重要节点亮化景观建设，建成路灯智能控制系统</w:t>
            </w:r>
          </w:p>
        </w:tc>
      </w:tr>
    </w:tbl>
    <w:p>
      <w:pPr>
        <w:pStyle w:val="5"/>
        <w:ind w:firstLine="643"/>
      </w:pPr>
      <w:bookmarkStart w:id="199" w:name="_Toc11855"/>
      <w:r>
        <w:rPr>
          <w:rFonts w:hint="eastAsia"/>
        </w:rPr>
        <w:t>第四节 完善公共服务，提升县城承载能力</w:t>
      </w:r>
      <w:bookmarkEnd w:id="199"/>
    </w:p>
    <w:p>
      <w:pPr>
        <w:pStyle w:val="6"/>
        <w:ind w:firstLine="562"/>
      </w:pPr>
      <w:r>
        <w:rPr>
          <w:rFonts w:hint="eastAsia"/>
        </w:rPr>
        <w:t>5.4.1主要目标</w:t>
      </w:r>
    </w:p>
    <w:p>
      <w:pPr>
        <w:spacing w:line="560" w:lineRule="exact"/>
        <w:ind w:firstLine="419" w:firstLineChars="131"/>
      </w:pPr>
      <w:r>
        <w:rPr>
          <w:rFonts w:hint="eastAsia" w:ascii="仿宋" w:hAnsi="仿宋" w:cs="仿宋"/>
          <w:sz w:val="32"/>
          <w:szCs w:val="32"/>
        </w:rPr>
        <w:t xml:space="preserve">  </w:t>
      </w:r>
      <w:r>
        <w:rPr>
          <w:rFonts w:hint="eastAsia"/>
        </w:rPr>
        <w:t>以公共服务提标扩面为目标，建立以社区公共团体为依托、以政府支持为前提、以社会力量广泛参与为基础的新型社区公共服务模式,最终形成社会保障、商业市场、公共服务相互匹配的社会化服务体系.提升社会服务理念、培育非营利性社会服务机构。</w:t>
      </w:r>
    </w:p>
    <w:p>
      <w:pPr>
        <w:pStyle w:val="6"/>
        <w:ind w:firstLine="562"/>
      </w:pPr>
      <w:r>
        <w:rPr>
          <w:rFonts w:hint="eastAsia"/>
        </w:rPr>
        <w:t>5.4.2 主要任务</w:t>
      </w:r>
    </w:p>
    <w:p>
      <w:pPr>
        <w:spacing w:line="560" w:lineRule="exact"/>
        <w:ind w:firstLine="366" w:firstLineChars="131"/>
      </w:pPr>
      <w:r>
        <w:rPr>
          <w:rFonts w:hint="eastAsia"/>
        </w:rPr>
        <w:t>公共服务设施提标扩面，重点推进医疗卫生设施、教育设施、养老托育设施、文旅体育设施、社会福利设施、社区综合服务设施6项建设任务。主要内容包括推进县级综合医院（含中医院）提标改造、县级疾控中心标准化，完善县级妇幼机构；新建或改扩建公办幼儿园，改善义务教育学校教学和生活设施；加快建设县级特困人员供养服务设施，建设综合性托育机构和社区托育设施；改造商业步行街、地方特色街区，改扩建或新建县级公共图书馆、文化馆、博物馆，完善游客服务中心、旅游道路和旅游厕所等配套设施；提升儿童福利设施和未成年人救助保护设施水平，建设残疾人康复和托养设施；统筹卫生、就业、社保、文体、退役军人服务、儿童关爱保护等公共服务项目，打造综合性多功能服务站。</w:t>
      </w:r>
    </w:p>
    <w:p>
      <w:pPr>
        <w:pStyle w:val="6"/>
        <w:ind w:firstLine="562"/>
      </w:pPr>
      <w:r>
        <w:rPr>
          <w:rFonts w:hint="eastAsia"/>
        </w:rPr>
        <w:t>5.4.3  重点项目</w:t>
      </w:r>
    </w:p>
    <w:p>
      <w:pPr>
        <w:ind w:firstLine="560"/>
      </w:pPr>
      <w:r>
        <w:rPr>
          <w:rFonts w:hint="eastAsia"/>
        </w:rPr>
        <w:t>综合服务方面，主要建设好</w:t>
      </w:r>
      <w:r>
        <w:t>政务服务中心实体大厅</w:t>
      </w:r>
      <w:r>
        <w:rPr>
          <w:rFonts w:hint="eastAsia"/>
        </w:rPr>
        <w:t>、</w:t>
      </w:r>
      <w:r>
        <w:t>隆回县村庄公共基础设施建设工程</w:t>
      </w:r>
      <w:r>
        <w:rPr>
          <w:rFonts w:hint="eastAsia"/>
        </w:rPr>
        <w:t>等项目；</w:t>
      </w:r>
    </w:p>
    <w:p>
      <w:pPr>
        <w:ind w:firstLine="560"/>
      </w:pPr>
      <w:r>
        <w:rPr>
          <w:rFonts w:hint="eastAsia"/>
        </w:rPr>
        <w:t>教育医疗卫生方面，主要建设好</w:t>
      </w:r>
      <w:r>
        <w:t>隆回县职业教育产教融合公共实训基地</w:t>
      </w:r>
      <w:r>
        <w:rPr>
          <w:rFonts w:hint="eastAsia"/>
        </w:rPr>
        <w:t>、</w:t>
      </w:r>
      <w:r>
        <w:t>城北职业技术学院</w:t>
      </w:r>
      <w:r>
        <w:rPr>
          <w:rFonts w:hint="eastAsia"/>
        </w:rPr>
        <w:t>、</w:t>
      </w:r>
      <w:r>
        <w:t>隆回一中</w:t>
      </w:r>
      <w:r>
        <w:rPr>
          <w:rFonts w:hint="eastAsia"/>
        </w:rPr>
        <w:t>、二中、六中</w:t>
      </w:r>
      <w:r>
        <w:t>扩建项目</w:t>
      </w:r>
      <w:r>
        <w:rPr>
          <w:rFonts w:hint="eastAsia"/>
        </w:rPr>
        <w:t>、</w:t>
      </w:r>
      <w:r>
        <w:t>隆回县</w:t>
      </w:r>
      <w:r>
        <w:rPr>
          <w:rFonts w:hint="eastAsia"/>
        </w:rPr>
        <w:t>魏源实验</w:t>
      </w:r>
      <w:r>
        <w:t>学校</w:t>
      </w:r>
      <w:r>
        <w:rPr>
          <w:rFonts w:hint="eastAsia"/>
        </w:rPr>
        <w:t>、</w:t>
      </w:r>
      <w:r>
        <w:t>隆回县横江半岛九年义务</w:t>
      </w:r>
      <w:r>
        <w:rPr>
          <w:rFonts w:hint="eastAsia"/>
        </w:rPr>
        <w:t>教育学校、城南芙蓉学校、隆回县</w:t>
      </w:r>
      <w:r>
        <w:t>教育现代化工程</w:t>
      </w:r>
      <w:r>
        <w:rPr>
          <w:rFonts w:hint="eastAsia"/>
        </w:rPr>
        <w:t>、</w:t>
      </w:r>
      <w:r>
        <w:t>隆回县小规模学校标准化建设项目</w:t>
      </w:r>
      <w:r>
        <w:rPr>
          <w:rFonts w:hint="eastAsia"/>
        </w:rPr>
        <w:t>、</w:t>
      </w:r>
      <w:r>
        <w:t>隆回县人民医院城北医院</w:t>
      </w:r>
      <w:r>
        <w:rPr>
          <w:rFonts w:hint="eastAsia"/>
        </w:rPr>
        <w:t>、</w:t>
      </w:r>
      <w:r>
        <w:t>隆回县人民医院金石桥镇分院</w:t>
      </w:r>
      <w:r>
        <w:rPr>
          <w:rFonts w:hint="eastAsia"/>
        </w:rPr>
        <w:t>、</w:t>
      </w:r>
      <w:r>
        <w:t>金石桥医疗康养老中心</w:t>
      </w:r>
      <w:r>
        <w:rPr>
          <w:rFonts w:hint="eastAsia"/>
        </w:rPr>
        <w:t>、</w:t>
      </w:r>
      <w:r>
        <w:t>隆回县中医医院肿瘤防治及中医特色康复中心</w:t>
      </w:r>
      <w:r>
        <w:rPr>
          <w:rFonts w:hint="eastAsia"/>
        </w:rPr>
        <w:t>、</w:t>
      </w:r>
      <w:r>
        <w:t>隆回县第二人民医院急救中心</w:t>
      </w:r>
      <w:r>
        <w:rPr>
          <w:rFonts w:hint="eastAsia"/>
        </w:rPr>
        <w:t>、</w:t>
      </w:r>
      <w:r>
        <w:t>隆回县疾病预防控制中心实验室和隔离防控中心</w:t>
      </w:r>
      <w:r>
        <w:rPr>
          <w:rFonts w:hint="eastAsia"/>
        </w:rPr>
        <w:t>、</w:t>
      </w:r>
      <w:r>
        <w:t>隆回县传染病救治中心及急诊急救网络平台工程</w:t>
      </w:r>
      <w:r>
        <w:rPr>
          <w:rFonts w:hint="eastAsia"/>
        </w:rPr>
        <w:t>、</w:t>
      </w:r>
      <w:r>
        <w:t>隆回县紧密型医共体建设项目</w:t>
      </w:r>
      <w:r>
        <w:rPr>
          <w:rFonts w:hint="eastAsia"/>
        </w:rPr>
        <w:t>等；</w:t>
      </w:r>
    </w:p>
    <w:p>
      <w:pPr>
        <w:ind w:firstLine="560"/>
      </w:pPr>
      <w:r>
        <w:rPr>
          <w:rFonts w:hint="eastAsia"/>
        </w:rPr>
        <w:t>文体方面，主要建设好县城“五馆一</w:t>
      </w:r>
      <w:r>
        <w:t>中心</w:t>
      </w:r>
      <w:r>
        <w:rPr>
          <w:rFonts w:hint="eastAsia"/>
        </w:rPr>
        <w:t>”项目、</w:t>
      </w:r>
      <w:r>
        <w:t>隆回县乡镇综合性文化服务中心（乡镇文化礼堂）</w:t>
      </w:r>
      <w:r>
        <w:rPr>
          <w:rFonts w:hint="eastAsia"/>
        </w:rPr>
        <w:t>、</w:t>
      </w:r>
      <w:r>
        <w:t>社会足球场建设项目</w:t>
      </w:r>
      <w:r>
        <w:rPr>
          <w:rFonts w:hint="eastAsia"/>
        </w:rPr>
        <w:t>、</w:t>
      </w:r>
      <w:r>
        <w:t>隆回县体育公园建设项目</w:t>
      </w:r>
      <w:r>
        <w:rPr>
          <w:rFonts w:hint="eastAsia"/>
        </w:rPr>
        <w:t>、</w:t>
      </w:r>
      <w:r>
        <w:t>隆回县伏龙江马拉松赛道（半马）建设项目</w:t>
      </w:r>
      <w:r>
        <w:rPr>
          <w:rFonts w:hint="eastAsia"/>
        </w:rPr>
        <w:t>、</w:t>
      </w:r>
      <w:r>
        <w:t>隆回县虎形山马拉松（高山）赛道建设项目</w:t>
      </w:r>
      <w:r>
        <w:rPr>
          <w:rFonts w:hint="eastAsia"/>
        </w:rPr>
        <w:t>、</w:t>
      </w:r>
      <w:r>
        <w:t>隆回县</w:t>
      </w:r>
      <w:r>
        <w:rPr>
          <w:rFonts w:hint="eastAsia"/>
        </w:rPr>
        <w:t>赧水</w:t>
      </w:r>
      <w:r>
        <w:t>紫阳渡龙舟赛标准赛道建设项目</w:t>
      </w:r>
      <w:r>
        <w:rPr>
          <w:rFonts w:hint="eastAsia"/>
        </w:rPr>
        <w:t>等；</w:t>
      </w:r>
    </w:p>
    <w:p>
      <w:pPr>
        <w:ind w:firstLine="560"/>
      </w:pPr>
      <w:bookmarkStart w:id="200" w:name="_Toc31754"/>
      <w:bookmarkStart w:id="201" w:name="_Toc6012"/>
      <w:bookmarkStart w:id="202" w:name="_Toc2932"/>
      <w:r>
        <w:rPr>
          <w:rFonts w:hint="eastAsia"/>
        </w:rPr>
        <w:t>养老托育方面，重点建设好</w:t>
      </w:r>
      <w:r>
        <w:t>隆回县第一</w:t>
      </w:r>
      <w:r>
        <w:rPr>
          <w:rFonts w:hint="eastAsia"/>
        </w:rPr>
        <w:t>、第二</w:t>
      </w:r>
      <w:r>
        <w:t>中心敬老院</w:t>
      </w:r>
      <w:r>
        <w:rPr>
          <w:rFonts w:hint="eastAsia"/>
        </w:rPr>
        <w:t>、</w:t>
      </w:r>
      <w:r>
        <w:t>隆回县乡镇医养院</w:t>
      </w:r>
      <w:r>
        <w:rPr>
          <w:rFonts w:hint="eastAsia"/>
        </w:rPr>
        <w:t>、</w:t>
      </w:r>
      <w:r>
        <w:t>隆回县魏源老年公寓</w:t>
      </w:r>
      <w:r>
        <w:rPr>
          <w:rFonts w:hint="eastAsia"/>
        </w:rPr>
        <w:t>、</w:t>
      </w:r>
      <w:r>
        <w:t>鸿鑫养生老年中心</w:t>
      </w:r>
      <w:r>
        <w:rPr>
          <w:rFonts w:hint="eastAsia"/>
        </w:rPr>
        <w:t>、</w:t>
      </w:r>
      <w:r>
        <w:t>佳源老年公寓</w:t>
      </w:r>
      <w:r>
        <w:rPr>
          <w:rFonts w:hint="eastAsia"/>
        </w:rPr>
        <w:t>、</w:t>
      </w:r>
      <w:r>
        <w:t>德鑫老年公寓</w:t>
      </w:r>
      <w:r>
        <w:rPr>
          <w:rFonts w:hint="eastAsia"/>
        </w:rPr>
        <w:t>等</w:t>
      </w:r>
      <w:r>
        <w:t>项目</w:t>
      </w:r>
      <w:r>
        <w:rPr>
          <w:rFonts w:hint="eastAsia"/>
        </w:rPr>
        <w:t>。</w:t>
      </w:r>
    </w:p>
    <w:p>
      <w:pPr>
        <w:pStyle w:val="5"/>
        <w:ind w:firstLine="643"/>
      </w:pPr>
      <w:bookmarkStart w:id="203" w:name="_Toc29414"/>
      <w:r>
        <w:rPr>
          <w:rFonts w:hint="eastAsia"/>
        </w:rPr>
        <w:t>第五节 全面修复生态，推进建设“海绵城市”</w:t>
      </w:r>
      <w:bookmarkEnd w:id="203"/>
    </w:p>
    <w:p>
      <w:pPr>
        <w:pStyle w:val="6"/>
        <w:ind w:firstLine="562"/>
      </w:pPr>
      <w:r>
        <w:rPr>
          <w:rFonts w:hint="eastAsia"/>
        </w:rPr>
        <w:t>5.5.1主要目标</w:t>
      </w:r>
    </w:p>
    <w:p>
      <w:pPr>
        <w:ind w:firstLine="560"/>
      </w:pPr>
      <w:r>
        <w:rPr>
          <w:rFonts w:hint="eastAsia"/>
        </w:rPr>
        <w:t>以综合生态系统服务为导向，运用生态学的原理和景观设计的方法以及渗、蓄、净、用、排等关键技术，实现以城市内涝和雨洪管理为主且同时包括生态防洪、水质净化、地下水补给、宗地修复、生物栖息地保护和恢复、公园绿地建设及城市微气候调节等综合目标。落实“海绵城市”建设战略，通过城市道路、广场、屋顶绿化建设、雨水搜集利用设施、生态系统修复等措施，增加城市公园建设，让城市像“海绵”一样，需要吸取和获释雨水，提升城市对水源的涵养能力，弹性地适应环境变化，应付自然灾害，做“小雨不积水，大雨不内涝，水体不黑臭”，同时减轻城市“热岛效应”，增强县城的抗涝能力和宜居水平。</w:t>
      </w:r>
    </w:p>
    <w:p>
      <w:pPr>
        <w:pStyle w:val="6"/>
        <w:ind w:firstLine="562"/>
      </w:pPr>
      <w:r>
        <w:rPr>
          <w:rFonts w:hint="eastAsia"/>
        </w:rPr>
        <w:t>5.5.2主要任务</w:t>
      </w:r>
    </w:p>
    <w:p>
      <w:pPr>
        <w:ind w:firstLine="560"/>
      </w:pPr>
      <w:r>
        <w:rPr>
          <w:rFonts w:hint="eastAsia"/>
        </w:rPr>
        <w:t>以修复生态和科学绿建为总领，包括城市道路和广场渗水改造增加绿色廊道建设，增加屋顶绿化和绿色建筑，新建、扩建和改建城市公园，特别是增加三八水库、荷叶塘水库、新立冲、白毛冲城市湿地公园建设，全面修复赧水、伏龙江、辰河、阴山-金门溪流等城市河道水上生态系统，深入治理城市黑臭水体，改造湿地公园。</w:t>
      </w:r>
    </w:p>
    <w:p>
      <w:pPr>
        <w:pStyle w:val="6"/>
        <w:ind w:firstLine="562"/>
      </w:pPr>
      <w:r>
        <w:rPr>
          <w:rFonts w:hint="eastAsia"/>
        </w:rPr>
        <w:t>5.5.3重点项目</w:t>
      </w:r>
    </w:p>
    <w:p>
      <w:pPr>
        <w:ind w:firstLine="560"/>
      </w:pPr>
      <w:r>
        <w:rPr>
          <w:rFonts w:hint="eastAsia"/>
        </w:rPr>
        <w:t>实施赧水河段、</w:t>
      </w:r>
      <w:r>
        <w:t>伏龙江、辰河</w:t>
      </w:r>
      <w:r>
        <w:rPr>
          <w:rFonts w:hint="eastAsia"/>
        </w:rPr>
        <w:t>综合整治工程，水生态修复工程，</w:t>
      </w:r>
      <w:r>
        <w:t>重点对</w:t>
      </w:r>
      <w:r>
        <w:rPr>
          <w:rFonts w:hint="eastAsia"/>
        </w:rPr>
        <w:t>赧水、伏龙江</w:t>
      </w:r>
      <w:r>
        <w:t>河道两岸实行生态修复，完善县城城市污水截污管道，河道清淤</w:t>
      </w:r>
      <w:r>
        <w:rPr>
          <w:rFonts w:hint="eastAsia"/>
        </w:rPr>
        <w:t>；实施黑臭水体治理工程，面上</w:t>
      </w:r>
      <w:r>
        <w:t>对</w:t>
      </w:r>
      <w:r>
        <w:rPr>
          <w:rFonts w:hint="eastAsia"/>
        </w:rPr>
        <w:t>赧水、</w:t>
      </w:r>
      <w:r>
        <w:t>伏龙江、辰河、西洋江、大洋江黑臭水体综合治理，进行截污、分流、净化处理</w:t>
      </w:r>
      <w:r>
        <w:rPr>
          <w:rFonts w:hint="eastAsia"/>
        </w:rPr>
        <w:t>，县城重点对三八水库、荷叶塘水库、新立冲水库、白毛冲水库的黑臭水体进行综合治理，建成水景公园、湿地公园；实施海绵城市改造工程，对小区、道路、广场、公园等场所地面设施实行雨水渗漏改造，逐渐推进绿色建筑和现有建筑的绿化系统改造。</w:t>
      </w:r>
    </w:p>
    <w:tbl>
      <w:tblPr>
        <w:tblStyle w:val="23"/>
        <w:tblW w:w="8778" w:type="dxa"/>
        <w:jc w:val="center"/>
        <w:tblLayout w:type="fixed"/>
        <w:tblCellMar>
          <w:top w:w="0" w:type="dxa"/>
          <w:left w:w="108" w:type="dxa"/>
          <w:bottom w:w="0" w:type="dxa"/>
          <w:right w:w="108" w:type="dxa"/>
        </w:tblCellMar>
      </w:tblPr>
      <w:tblGrid>
        <w:gridCol w:w="8778"/>
      </w:tblGrid>
      <w:tr>
        <w:trPr>
          <w:tblHeader/>
          <w:jc w:val="center"/>
        </w:trPr>
        <w:tc>
          <w:tcPr>
            <w:tcW w:w="8778" w:type="dxa"/>
            <w:tcBorders>
              <w:top w:val="single" w:color="4BACC6" w:sz="8" w:space="0"/>
              <w:left w:val="single" w:color="4BACC6" w:sz="8" w:space="0"/>
              <w:bottom w:val="single" w:color="FFFFFF" w:sz="18" w:space="0"/>
              <w:right w:val="single" w:color="4BACC6" w:sz="8" w:space="0"/>
            </w:tcBorders>
            <w:shd w:val="clear" w:color="auto" w:fill="4BACC6"/>
            <w:vAlign w:val="center"/>
          </w:tcPr>
          <w:p>
            <w:pPr>
              <w:pStyle w:val="34"/>
              <w:spacing w:line="400" w:lineRule="exact"/>
              <w:ind w:firstLine="2530" w:firstLineChars="900"/>
              <w:outlineLvl w:val="3"/>
              <w:rPr>
                <w:rFonts w:eastAsia="楷体_GB2312"/>
                <w:b/>
                <w:bCs/>
                <w:color w:val="FFFFFF"/>
                <w:kern w:val="0"/>
                <w:szCs w:val="28"/>
              </w:rPr>
            </w:pPr>
            <w:r>
              <w:rPr>
                <w:rFonts w:hint="eastAsia" w:eastAsia="楷体"/>
                <w:b/>
                <w:bCs/>
                <w:color w:val="FFFFFF"/>
                <w:kern w:val="0"/>
                <w:szCs w:val="28"/>
              </w:rPr>
              <w:t>专栏6 海绵城市</w:t>
            </w:r>
            <w:r>
              <w:rPr>
                <w:rFonts w:eastAsia="楷体"/>
                <w:b/>
                <w:bCs/>
                <w:color w:val="FFFFFF"/>
                <w:kern w:val="0"/>
                <w:szCs w:val="28"/>
              </w:rPr>
              <w:t>重点工程</w:t>
            </w:r>
          </w:p>
        </w:tc>
      </w:tr>
      <w:tr>
        <w:tblPrEx>
          <w:tblCellMar>
            <w:top w:w="0" w:type="dxa"/>
            <w:left w:w="108" w:type="dxa"/>
            <w:bottom w:w="0" w:type="dxa"/>
            <w:right w:w="108" w:type="dxa"/>
          </w:tblCellMar>
        </w:tblPrEx>
        <w:trPr>
          <w:jc w:val="center"/>
        </w:trPr>
        <w:tc>
          <w:tcPr>
            <w:tcW w:w="8778" w:type="dxa"/>
            <w:tcBorders>
              <w:top w:val="single" w:color="FFFFFF" w:sz="18" w:space="0"/>
              <w:left w:val="single" w:color="4BACC6" w:sz="8" w:space="0"/>
              <w:bottom w:val="single" w:color="4BACC6" w:sz="8" w:space="0"/>
              <w:right w:val="single" w:color="4BACC6" w:sz="8" w:space="0"/>
            </w:tcBorders>
            <w:shd w:val="clear" w:color="auto" w:fill="B7DDE8"/>
            <w:vAlign w:val="center"/>
          </w:tcPr>
          <w:p>
            <w:pPr>
              <w:ind w:firstLine="422"/>
            </w:pPr>
            <w:r>
              <w:rPr>
                <w:rFonts w:hint="eastAsia" w:eastAsia="楷体"/>
                <w:b/>
                <w:color w:val="000000"/>
                <w:kern w:val="0"/>
                <w:sz w:val="21"/>
                <w:szCs w:val="21"/>
              </w:rPr>
              <w:t>公园新建改建工程。</w:t>
            </w:r>
            <w:r>
              <w:rPr>
                <w:rFonts w:hint="eastAsia" w:eastAsia="楷体"/>
                <w:color w:val="000000"/>
                <w:kern w:val="0"/>
                <w:sz w:val="21"/>
                <w:szCs w:val="21"/>
              </w:rPr>
              <w:t>规划建设城南三八水库湿地公园、城北白毛冲水库湿地公园、城中新立冲水景公园、荷叶塘湿地公园、城东肖山水库湿地公园、塘坨水库水景公园、城西红旗坝湿地公园等七大水景湿地公园。</w:t>
            </w:r>
            <w:r>
              <w:rPr>
                <w:rFonts w:eastAsia="楷体"/>
                <w:color w:val="000000"/>
                <w:kern w:val="0"/>
                <w:sz w:val="21"/>
                <w:szCs w:val="21"/>
              </w:rPr>
              <w:t>建设“郊野公园、城市生态公园、街坊（社区）口袋花园、建筑垂直绿化”四级城市绿色景观体系。</w:t>
            </w:r>
            <w:r>
              <w:rPr>
                <w:rFonts w:hint="eastAsia" w:eastAsia="楷体"/>
                <w:color w:val="000000"/>
                <w:kern w:val="0"/>
                <w:sz w:val="21"/>
                <w:szCs w:val="21"/>
              </w:rPr>
              <w:t>新建城北公园、思源公园、橘子山公园、石头山公园、狐狸岛水上公园等城郊公园；对原有魏源公园、方大公园、芙蓉山公园等三大主题公园进行提质改造。计划新增植树造林、绿化200公顷，新建道路15km、游步道50km，配套建设旅游设施、公共基础设施10000平方米。</w:t>
            </w:r>
          </w:p>
          <w:p>
            <w:pPr>
              <w:snapToGrid w:val="0"/>
              <w:spacing w:line="360" w:lineRule="exact"/>
              <w:ind w:firstLine="422"/>
              <w:jc w:val="left"/>
              <w:rPr>
                <w:rFonts w:eastAsia="楷体"/>
                <w:color w:val="000000"/>
                <w:kern w:val="0"/>
                <w:sz w:val="21"/>
                <w:szCs w:val="21"/>
              </w:rPr>
            </w:pPr>
            <w:r>
              <w:rPr>
                <w:rFonts w:hint="eastAsia" w:eastAsia="楷体"/>
                <w:b/>
                <w:color w:val="000000"/>
                <w:kern w:val="0"/>
                <w:sz w:val="21"/>
                <w:szCs w:val="21"/>
              </w:rPr>
              <w:t>水生态修复工程。</w:t>
            </w:r>
            <w:r>
              <w:rPr>
                <w:rFonts w:hint="eastAsia" w:eastAsia="楷体"/>
                <w:color w:val="000000"/>
                <w:kern w:val="0"/>
                <w:sz w:val="21"/>
                <w:szCs w:val="21"/>
              </w:rPr>
              <w:t>实施赧水、伏龙江、辰河</w:t>
            </w:r>
            <w:r>
              <w:rPr>
                <w:rFonts w:eastAsia="楷体"/>
                <w:color w:val="000000"/>
                <w:kern w:val="0"/>
                <w:sz w:val="21"/>
                <w:szCs w:val="21"/>
              </w:rPr>
              <w:t>河道</w:t>
            </w:r>
            <w:r>
              <w:rPr>
                <w:rFonts w:hint="eastAsia" w:eastAsia="楷体"/>
                <w:color w:val="000000"/>
                <w:kern w:val="0"/>
                <w:sz w:val="21"/>
                <w:szCs w:val="21"/>
              </w:rPr>
              <w:t>生态清淤工程，</w:t>
            </w:r>
            <w:r>
              <w:rPr>
                <w:rFonts w:eastAsia="楷体"/>
                <w:color w:val="000000"/>
                <w:kern w:val="0"/>
                <w:sz w:val="21"/>
                <w:szCs w:val="21"/>
              </w:rPr>
              <w:t>两岸实行生态修复，完善县城城市污水截污管道，河道清淤</w:t>
            </w:r>
            <w:r>
              <w:rPr>
                <w:rFonts w:hint="eastAsia" w:eastAsia="楷体"/>
                <w:color w:val="000000"/>
                <w:kern w:val="0"/>
                <w:sz w:val="21"/>
                <w:szCs w:val="21"/>
              </w:rPr>
              <w:t>，开展点源、面源治理。对于富营养化问题突出，面源污染较为严重的问题，结合污染物拦截净化措施，加强农村农业面源污染治理。</w:t>
            </w:r>
          </w:p>
          <w:p>
            <w:pPr>
              <w:snapToGrid w:val="0"/>
              <w:spacing w:line="360" w:lineRule="exact"/>
              <w:ind w:firstLine="422"/>
              <w:jc w:val="left"/>
              <w:rPr>
                <w:rFonts w:eastAsia="楷体"/>
                <w:color w:val="000000"/>
                <w:kern w:val="0"/>
                <w:sz w:val="21"/>
                <w:szCs w:val="21"/>
              </w:rPr>
            </w:pPr>
            <w:r>
              <w:rPr>
                <w:rFonts w:hint="eastAsia" w:eastAsia="楷体"/>
                <w:b/>
                <w:color w:val="000000"/>
                <w:kern w:val="0"/>
                <w:sz w:val="21"/>
                <w:szCs w:val="21"/>
              </w:rPr>
              <w:t>黑臭水体治理工程。</w:t>
            </w:r>
            <w:r>
              <w:rPr>
                <w:rFonts w:hint="eastAsia" w:eastAsia="楷体"/>
                <w:color w:val="000000"/>
                <w:kern w:val="0"/>
                <w:sz w:val="21"/>
                <w:szCs w:val="21"/>
              </w:rPr>
              <w:t>重点对三八水库、荷叶塘水库、新立冲水库、白毛冲水库的黑臭水体进行综合治理，建成水景公园、湿地公园。</w:t>
            </w:r>
          </w:p>
          <w:p>
            <w:pPr>
              <w:snapToGrid w:val="0"/>
              <w:spacing w:line="360" w:lineRule="exact"/>
              <w:ind w:firstLine="422"/>
              <w:jc w:val="left"/>
              <w:rPr>
                <w:rFonts w:eastAsia="楷体"/>
                <w:color w:val="000000"/>
                <w:kern w:val="0"/>
                <w:sz w:val="21"/>
                <w:szCs w:val="21"/>
              </w:rPr>
            </w:pPr>
            <w:r>
              <w:rPr>
                <w:rFonts w:hint="eastAsia" w:eastAsia="楷体"/>
                <w:b/>
                <w:color w:val="000000"/>
                <w:kern w:val="0"/>
                <w:sz w:val="21"/>
                <w:szCs w:val="21"/>
              </w:rPr>
              <w:t>城市雨水渗漏工程。</w:t>
            </w:r>
            <w:r>
              <w:rPr>
                <w:rFonts w:hint="eastAsia" w:eastAsia="楷体"/>
                <w:color w:val="000000"/>
                <w:kern w:val="0"/>
                <w:sz w:val="21"/>
                <w:szCs w:val="21"/>
              </w:rPr>
              <w:t>实施城市小区、公园、广场、停车场、步行道透水改造工程。</w:t>
            </w:r>
          </w:p>
          <w:p>
            <w:pPr>
              <w:snapToGrid w:val="0"/>
              <w:spacing w:line="360" w:lineRule="exact"/>
              <w:ind w:firstLine="422"/>
              <w:jc w:val="left"/>
              <w:rPr>
                <w:rFonts w:eastAsia="楷体"/>
                <w:color w:val="000000"/>
                <w:kern w:val="0"/>
                <w:sz w:val="21"/>
                <w:szCs w:val="21"/>
              </w:rPr>
            </w:pPr>
            <w:r>
              <w:rPr>
                <w:rFonts w:hint="eastAsia" w:eastAsia="楷体"/>
                <w:b/>
                <w:color w:val="000000"/>
                <w:kern w:val="0"/>
                <w:sz w:val="21"/>
                <w:szCs w:val="21"/>
              </w:rPr>
              <w:t>雨污分流改造工程。</w:t>
            </w:r>
            <w:r>
              <w:rPr>
                <w:rFonts w:hint="eastAsia" w:eastAsia="楷体"/>
                <w:color w:val="000000"/>
                <w:kern w:val="0"/>
                <w:sz w:val="21"/>
                <w:szCs w:val="21"/>
              </w:rPr>
              <w:t>结合地下管廊建设，实施雨污分流，配套建设雨水、污水收集、输送管网，实现雨水、污水分流排放，结合老旧小区改造计划，同步实施雨污分流、管网纠错、管网病害管理改造。</w:t>
            </w:r>
          </w:p>
        </w:tc>
      </w:tr>
    </w:tbl>
    <w:p>
      <w:pPr>
        <w:pStyle w:val="5"/>
        <w:ind w:firstLine="643"/>
      </w:pPr>
      <w:bookmarkStart w:id="204" w:name="_Toc27341"/>
      <w:r>
        <w:rPr>
          <w:rFonts w:hint="eastAsia"/>
        </w:rPr>
        <w:t>第六节 落实绿建目标，建设省级森林城市</w:t>
      </w:r>
      <w:bookmarkEnd w:id="204"/>
    </w:p>
    <w:p>
      <w:pPr>
        <w:pStyle w:val="6"/>
        <w:ind w:firstLine="562"/>
      </w:pPr>
      <w:r>
        <w:rPr>
          <w:rFonts w:hint="eastAsia"/>
        </w:rPr>
        <w:t xml:space="preserve">5.6.1 主要目标 </w:t>
      </w:r>
    </w:p>
    <w:p>
      <w:pPr>
        <w:ind w:firstLine="560"/>
      </w:pPr>
      <w:r>
        <w:rPr>
          <w:rFonts w:hint="eastAsia"/>
        </w:rPr>
        <w:t xml:space="preserve">创建湖南省森林城市，城市绿地系统建设要重视城区及其周边的自然山水骨架特征，注重与山林农田、河流水域的有机结合，并将其作为城市重要的生态背景，创造良好、舒适的城市生态环境。要保持城市绿地系统与生态环境、城市景观、城市人文环境的高度协调性。规划期内，城市绿地建设以“中心增绿，外围拓展，绿楔插入，山水交融，城乡一体，内外环抱”为基本方略，形成 </w:t>
      </w:r>
      <w:r>
        <w:rPr>
          <w:rFonts w:hint="eastAsia"/>
          <w:b/>
          <w:bCs/>
        </w:rPr>
        <w:t>“一圈两带八公园，七纵八横十五通道</w:t>
      </w:r>
      <w:r>
        <w:rPr>
          <w:rFonts w:hint="eastAsia"/>
        </w:rPr>
        <w:t>”的县城绿地格局。</w:t>
      </w:r>
    </w:p>
    <w:p>
      <w:pPr>
        <w:pStyle w:val="6"/>
        <w:ind w:firstLine="562"/>
      </w:pPr>
      <w:r>
        <w:rPr>
          <w:rFonts w:hint="eastAsia"/>
        </w:rPr>
        <w:t>5.6.2 主要任务</w:t>
      </w:r>
    </w:p>
    <w:p>
      <w:pPr>
        <w:pStyle w:val="34"/>
        <w:spacing w:line="560" w:lineRule="exact"/>
        <w:ind w:firstLine="560"/>
        <w:rPr>
          <w:szCs w:val="30"/>
        </w:rPr>
      </w:pPr>
      <w:r>
        <w:rPr>
          <w:szCs w:val="30"/>
        </w:rPr>
        <w:t>加强城市园林绿化，建设“郊野公园、城市生态公园、街坊（社区）口袋花园、建筑垂直绿化”四级城市绿色景观体系。推进郊野生态圈绿化提质，重点做好望云山杜鹃园、大东山樱花园、白马山红枫园、九龙山生态园等公园建设及周边山体绿化，大力建设郊野环城生态林。推进城市公园风光带绿化提质，加强魏源公园、方大公园、赧水风光带绿化建设，打造城市园林绿化精品。推进街坊（社区）绿化提质，对新建社区、小区庭院进行高标准绿化，落实老旧居住区和背街小巷的绿化建设，城区企业建设环企绿化隔离带。做好城市立体绿化顶层设计，大力实施公共建筑屋顶绿化、建筑墙体垂直绿化、桥梁和停车场绿化建设，增加城市绿色生态容量，提升城市绿色生态景观。</w:t>
      </w:r>
    </w:p>
    <w:p>
      <w:pPr>
        <w:ind w:firstLine="0" w:firstLineChars="0"/>
        <w:rPr>
          <w:szCs w:val="30"/>
        </w:rPr>
      </w:pPr>
      <w:r>
        <w:rPr>
          <w:szCs w:val="30"/>
        </w:rPr>
        <w:t>重点落实虎形山-花瑶国家级风景名胜区建设、白马山和望云山省级森林公园建设、魏源湖国家湿地公园提质改造等生态环境保护工程。</w:t>
      </w:r>
      <w:r>
        <w:rPr>
          <w:rFonts w:hint="eastAsia"/>
          <w:szCs w:val="30"/>
        </w:rPr>
        <w:t xml:space="preserve"> </w:t>
      </w:r>
      <w:r>
        <w:rPr>
          <w:szCs w:val="30"/>
        </w:rPr>
        <w:t xml:space="preserve">  </w:t>
      </w:r>
    </w:p>
    <w:p>
      <w:pPr>
        <w:pStyle w:val="6"/>
        <w:ind w:firstLine="562"/>
        <w:rPr>
          <w:rFonts w:ascii="仿宋" w:hAnsi="仿宋" w:cs="仿宋"/>
          <w:sz w:val="32"/>
        </w:rPr>
      </w:pPr>
      <w:r>
        <w:rPr>
          <w:szCs w:val="30"/>
        </w:rPr>
        <w:t xml:space="preserve">  </w:t>
      </w:r>
      <w:r>
        <w:rPr>
          <w:rFonts w:hint="eastAsia"/>
        </w:rPr>
        <w:t>5.6.3 重点项目</w:t>
      </w:r>
    </w:p>
    <w:p>
      <w:pPr>
        <w:ind w:firstLine="281" w:firstLineChars="100"/>
        <w:rPr>
          <w:b/>
          <w:bCs/>
        </w:rPr>
      </w:pPr>
      <w:r>
        <w:rPr>
          <w:rFonts w:hint="eastAsia"/>
          <w:b/>
          <w:bCs/>
        </w:rPr>
        <w:t xml:space="preserve">筑牢一个县城绿色生态屏障圈 </w:t>
      </w:r>
      <w:r>
        <w:rPr>
          <w:rFonts w:hint="eastAsia"/>
          <w:bCs/>
        </w:rPr>
        <w:t>以芙蓉山-沙坪界-五里-旗界岭-黄花州-寺山-南松-阴山-芙蓉山为绿色廊道圈，构建隆回县城绿色生态屏障圈，加强这一带山地丘陵的保护力度，丰富物种水平，修复生态体系，形成县城安全有效的绿色生态屏障；</w:t>
      </w:r>
    </w:p>
    <w:p>
      <w:pPr>
        <w:ind w:firstLine="275" w:firstLineChars="98"/>
      </w:pPr>
      <w:r>
        <w:rPr>
          <w:rFonts w:hint="eastAsia"/>
          <w:b/>
          <w:bCs/>
        </w:rPr>
        <w:t xml:space="preserve">打造赧水伏龙江两条风光带 </w:t>
      </w:r>
      <w:r>
        <w:rPr>
          <w:rFonts w:hint="eastAsia"/>
        </w:rPr>
        <w:t>规划建设狐狸岛-猫头岩-横江古渡口-桃花坪老码头-黄花州赧水沿江风光带，规划建设寺山-南松-白竹-五里牌-石马村伏龙江沿河水风光带，成为提升县城的品位新亮点；</w:t>
      </w:r>
    </w:p>
    <w:p>
      <w:pPr>
        <w:ind w:firstLine="274" w:firstLineChars="98"/>
      </w:pPr>
      <w:r>
        <w:rPr>
          <w:rFonts w:hint="eastAsia"/>
          <w:bCs/>
        </w:rPr>
        <w:t xml:space="preserve">新建改建八大城市公园 </w:t>
      </w:r>
      <w:r>
        <w:rPr>
          <w:rFonts w:hint="eastAsia"/>
        </w:rPr>
        <w:t>新建城北公园、思源公园、三八水库湿地公园、橘子山公园（石头山公园）、狐狸岛水上公园等五大城郊公园；对原有魏源公园、方大公园、芙蓉山公园等三大主题公园进行提质改造。计划新增植树造林、绿化200公顷，新建道路15km、游步道50km，配套建设旅游设施、公共基础设施10000平方米；培育七纵八横十五通道，高标准新建改建西环路、花门路、辰河路、汉勋路、人民路、魏源大道、伏龙路七条纵向道路绿色廊道，高标准新建改建南环路、赧水南路（北路）、桃洪路、九龙路、远大路、隆回大道、芙蓉路、金银花路、环城北路八条横向绿色廊道，形成县城纵横交错的绿色廊道，为创建“森林城市”奠定基础；       </w:t>
      </w:r>
    </w:p>
    <w:p>
      <w:pPr>
        <w:pStyle w:val="6"/>
        <w:ind w:firstLine="562"/>
        <w:rPr>
          <w:b w:val="0"/>
          <w:bCs w:val="0"/>
          <w:szCs w:val="24"/>
        </w:rPr>
      </w:pPr>
      <w:r>
        <w:rPr>
          <w:rFonts w:hint="eastAsia"/>
          <w:bCs w:val="0"/>
          <w:szCs w:val="24"/>
        </w:rPr>
        <w:t>创建绿色宜居小区</w:t>
      </w:r>
      <w:r>
        <w:rPr>
          <w:rFonts w:hint="eastAsia"/>
          <w:b w:val="0"/>
          <w:bCs w:val="0"/>
          <w:szCs w:val="24"/>
        </w:rPr>
        <w:t xml:space="preserve"> </w:t>
      </w:r>
      <w:r>
        <w:rPr>
          <w:rFonts w:hint="eastAsia"/>
          <w:b w:val="0"/>
        </w:rPr>
        <w:t>在各类城市建设用地中，必须保证足够的绿地比例。新建居住小区，以多层住宅为主的小区，其绿地率应达到30%，以高层住宅为主的小区应达到35%，低层别墅小区应达到45%。属于旧城改造的住宅开发项目，其绿地率需达到20%。在已建住宅小区中，凡绿地率偏低的小区，均须按照20%绿地率的要求进行改造。</w:t>
      </w:r>
    </w:p>
    <w:p>
      <w:pPr>
        <w:ind w:firstLine="0" w:firstLineChars="0"/>
      </w:pPr>
      <w:r>
        <w:rPr>
          <w:rFonts w:hint="eastAsia"/>
        </w:rPr>
        <w:t>新建机关、学校、医院、宾馆、体育场馆，绿地率应达到35%，疗养院绿地率应达到40%，其它公共设施用地的绿地率不应低于30%。工业用地绿地率应达到30%，存在明显污染的工业用地，绿地率应达到40%。仓储用地的绿地率不应低于20%。城市市政公用设施用地绿地率按30%控制，但城市水厂的绿地率应达到45%。城市道路绿化，一般按绿地率10～15%进行控制。隆回大道、魏源大道、高速公路、铁路两侧各50 米，主要对外公路以及交通性主干路建成区以外的路段两侧各30 米范围内，作为公路或道路的专用防护绿地，除加油站等少量与交通运输直接相关的设施用地外，不得用于其它项目的建设。工业区与生活区之间，采用卫生防护绿地予以隔离，绿化带宽度80～100 米。规划扩建城东、城西、城南苗圃，占地面积50 公顷。</w:t>
      </w:r>
    </w:p>
    <w:p>
      <w:pPr>
        <w:pStyle w:val="5"/>
        <w:ind w:firstLine="643"/>
      </w:pPr>
      <w:bookmarkStart w:id="205" w:name="_Toc25738"/>
      <w:r>
        <w:rPr>
          <w:rFonts w:hint="eastAsia"/>
        </w:rPr>
        <w:t>第七节 落实住房保障，建设安居</w:t>
      </w:r>
      <w:r>
        <w:rPr>
          <w:rFonts w:hint="eastAsia"/>
          <w:lang w:eastAsia="zh-CN"/>
        </w:rPr>
        <w:t>保障</w:t>
      </w:r>
      <w:r>
        <w:rPr>
          <w:rFonts w:hint="eastAsia"/>
        </w:rPr>
        <w:t>工程</w:t>
      </w:r>
      <w:bookmarkEnd w:id="205"/>
    </w:p>
    <w:p>
      <w:pPr>
        <w:pStyle w:val="6"/>
        <w:ind w:firstLine="562"/>
      </w:pPr>
      <w:r>
        <w:rPr>
          <w:rFonts w:hint="eastAsia"/>
        </w:rPr>
        <w:t>5.7.1 主要目标</w:t>
      </w:r>
    </w:p>
    <w:p>
      <w:pPr>
        <w:ind w:firstLine="560"/>
      </w:pPr>
      <w:r>
        <w:rPr>
          <w:rFonts w:hint="eastAsia"/>
        </w:rPr>
        <w:t>全面建成小康社会、迈向社会主义现代化新征程、实现全体人民“住有所居”宗旨，适应隆回县国民经济和社会发展客观需要，加快解决城镇化进程中带来的住房新问题，建立健全基本住房保障制度，逐步扩大保障范围，加快保障性住房建设，推进城镇老旧小区改造，切实解决中低收入家庭住房困难，逐步改善城镇居民基本居住条件。</w:t>
      </w:r>
    </w:p>
    <w:p>
      <w:pPr>
        <w:pStyle w:val="6"/>
        <w:ind w:firstLine="562"/>
      </w:pPr>
      <w:r>
        <w:rPr>
          <w:rFonts w:hint="eastAsia"/>
        </w:rPr>
        <w:t>5.7.2 主要任务</w:t>
      </w:r>
    </w:p>
    <w:p>
      <w:pPr>
        <w:ind w:firstLine="560"/>
      </w:pPr>
      <w:r>
        <w:rPr>
          <w:rFonts w:hint="eastAsia"/>
        </w:rPr>
        <w:t>完善住房保障和供应体系，鼓励社会力量参与保障性住房建设，提高保障性住房覆盖面。重点确定经济适用住房、限价商品住房、公共租赁住房、廉租住房等满足中低收入人群住房需求的居住用地布局及标准。实施好保障性安居工程、老旧小区改造、棚户区改造。</w:t>
      </w:r>
    </w:p>
    <w:p>
      <w:pPr>
        <w:pStyle w:val="6"/>
        <w:ind w:firstLine="562"/>
      </w:pPr>
      <w:r>
        <w:rPr>
          <w:rFonts w:hint="eastAsia"/>
        </w:rPr>
        <w:t>5.7.3 重点项目</w:t>
      </w:r>
    </w:p>
    <w:tbl>
      <w:tblPr>
        <w:tblStyle w:val="23"/>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4BACC6" w:sz="8" w:space="0"/>
              <w:left w:val="single" w:color="4BACC6" w:sz="8" w:space="0"/>
              <w:bottom w:val="single" w:color="FFFFFF" w:sz="18" w:space="0"/>
              <w:right w:val="single" w:color="4BACC6" w:sz="8" w:space="0"/>
            </w:tcBorders>
            <w:shd w:val="clear" w:color="auto" w:fill="4BACC6"/>
            <w:vAlign w:val="center"/>
          </w:tcPr>
          <w:p>
            <w:pPr>
              <w:pStyle w:val="34"/>
              <w:spacing w:line="400" w:lineRule="exact"/>
              <w:ind w:firstLine="2530" w:firstLineChars="900"/>
              <w:outlineLvl w:val="3"/>
              <w:rPr>
                <w:rFonts w:eastAsia="楷体_GB2312"/>
                <w:b/>
                <w:bCs/>
                <w:color w:val="FFFFFF"/>
                <w:kern w:val="0"/>
                <w:szCs w:val="28"/>
              </w:rPr>
            </w:pPr>
            <w:r>
              <w:rPr>
                <w:rFonts w:hint="eastAsia" w:eastAsia="楷体"/>
                <w:b/>
                <w:bCs/>
                <w:color w:val="FFFFFF"/>
                <w:kern w:val="0"/>
                <w:szCs w:val="28"/>
              </w:rPr>
              <w:t>专栏7 保障性住房</w:t>
            </w:r>
            <w:r>
              <w:rPr>
                <w:rFonts w:eastAsia="楷体"/>
                <w:b/>
                <w:bCs/>
                <w:color w:val="FFFFFF"/>
                <w:kern w:val="0"/>
                <w:szCs w:val="28"/>
              </w:rPr>
              <w:t>工程</w:t>
            </w:r>
          </w:p>
        </w:tc>
      </w:tr>
      <w:tr>
        <w:tblPrEx>
          <w:tblCellMar>
            <w:top w:w="0" w:type="dxa"/>
            <w:left w:w="108" w:type="dxa"/>
            <w:bottom w:w="0" w:type="dxa"/>
            <w:right w:w="108" w:type="dxa"/>
          </w:tblCellMar>
        </w:tblPrEx>
        <w:trPr>
          <w:jc w:val="center"/>
        </w:trPr>
        <w:tc>
          <w:tcPr>
            <w:tcW w:w="8778" w:type="dxa"/>
            <w:tcBorders>
              <w:top w:val="single" w:color="FFFFFF" w:sz="18" w:space="0"/>
              <w:left w:val="single" w:color="4BACC6" w:sz="8" w:space="0"/>
              <w:bottom w:val="single" w:color="4BACC6" w:sz="8" w:space="0"/>
              <w:right w:val="single" w:color="4BACC6" w:sz="8" w:space="0"/>
            </w:tcBorders>
            <w:shd w:val="clear" w:color="auto" w:fill="B7DDE8"/>
            <w:vAlign w:val="center"/>
          </w:tcPr>
          <w:p>
            <w:pPr>
              <w:snapToGrid w:val="0"/>
              <w:spacing w:line="360" w:lineRule="exact"/>
              <w:ind w:firstLine="422"/>
              <w:jc w:val="left"/>
              <w:rPr>
                <w:kern w:val="0"/>
                <w:sz w:val="21"/>
                <w:szCs w:val="21"/>
              </w:rPr>
            </w:pPr>
            <w:r>
              <w:rPr>
                <w:rFonts w:hint="eastAsia" w:eastAsia="楷体"/>
                <w:b/>
                <w:color w:val="000000"/>
                <w:kern w:val="0"/>
                <w:sz w:val="21"/>
                <w:szCs w:val="21"/>
              </w:rPr>
              <w:t>保障性安居工程。</w:t>
            </w:r>
            <w:r>
              <w:rPr>
                <w:rFonts w:hint="eastAsia"/>
                <w:kern w:val="0"/>
                <w:sz w:val="21"/>
                <w:szCs w:val="21"/>
              </w:rPr>
              <w:t>完成城北（大花）棚户区改造项目第Ⅰ、Ⅱ期及配套基础设施建设项目总建筑面积122647平米，建安置房633套，同时配套建成商业、给排水、电力线路、道路、绿化亮化等附属设施，计划总投资7.85亿元，鼓励社会资本投资安居工程。</w:t>
            </w:r>
          </w:p>
          <w:p>
            <w:pPr>
              <w:snapToGrid w:val="0"/>
              <w:spacing w:line="360" w:lineRule="exact"/>
              <w:ind w:firstLine="422"/>
              <w:jc w:val="left"/>
              <w:rPr>
                <w:kern w:val="0"/>
                <w:sz w:val="21"/>
                <w:szCs w:val="21"/>
              </w:rPr>
            </w:pPr>
            <w:r>
              <w:rPr>
                <w:rFonts w:hint="eastAsia"/>
                <w:b/>
                <w:kern w:val="0"/>
                <w:sz w:val="21"/>
                <w:szCs w:val="21"/>
              </w:rPr>
              <w:t>老旧小区改造工程。</w:t>
            </w:r>
            <w:r>
              <w:rPr>
                <w:rFonts w:hint="eastAsia"/>
                <w:kern w:val="0"/>
                <w:sz w:val="21"/>
                <w:szCs w:val="21"/>
              </w:rPr>
              <w:t>实施老旧小区改造及配套基础设施项目，对老旧小区内房屋进行功能性改造、结构加固，同时对老旧的给排水、电力线路、道路、绿化亮化、电梯等附属配套设施进行提质改造，计划改造总户数</w:t>
            </w:r>
            <w:r>
              <w:rPr>
                <w:kern w:val="0"/>
                <w:sz w:val="21"/>
                <w:szCs w:val="21"/>
              </w:rPr>
              <w:t>135</w:t>
            </w:r>
            <w:r>
              <w:rPr>
                <w:rFonts w:hint="eastAsia"/>
                <w:kern w:val="0"/>
                <w:sz w:val="21"/>
                <w:szCs w:val="21"/>
              </w:rPr>
              <w:t>00户，改造面积</w:t>
            </w:r>
            <w:r>
              <w:rPr>
                <w:kern w:val="0"/>
                <w:sz w:val="21"/>
                <w:szCs w:val="21"/>
              </w:rPr>
              <w:t>142</w:t>
            </w:r>
            <w:r>
              <w:rPr>
                <w:rFonts w:hint="eastAsia"/>
                <w:kern w:val="0"/>
                <w:sz w:val="21"/>
                <w:szCs w:val="21"/>
              </w:rPr>
              <w:t>万平米，计划投资</w:t>
            </w:r>
            <w:r>
              <w:rPr>
                <w:kern w:val="0"/>
                <w:sz w:val="21"/>
                <w:szCs w:val="21"/>
              </w:rPr>
              <w:t>26</w:t>
            </w:r>
            <w:r>
              <w:rPr>
                <w:rFonts w:hint="eastAsia"/>
                <w:kern w:val="0"/>
                <w:sz w:val="21"/>
                <w:szCs w:val="21"/>
              </w:rPr>
              <w:t>亿元。</w:t>
            </w:r>
          </w:p>
          <w:p>
            <w:pPr>
              <w:snapToGrid w:val="0"/>
              <w:spacing w:line="360" w:lineRule="exact"/>
              <w:ind w:firstLine="422"/>
              <w:jc w:val="left"/>
              <w:rPr>
                <w:rFonts w:eastAsia="楷体"/>
                <w:color w:val="000000"/>
                <w:kern w:val="0"/>
                <w:sz w:val="21"/>
                <w:szCs w:val="21"/>
              </w:rPr>
            </w:pPr>
            <w:r>
              <w:rPr>
                <w:rFonts w:hint="eastAsia"/>
                <w:b/>
                <w:kern w:val="0"/>
                <w:sz w:val="21"/>
                <w:szCs w:val="21"/>
              </w:rPr>
              <w:t>棚户区改造工程。</w:t>
            </w:r>
            <w:r>
              <w:rPr>
                <w:rFonts w:hint="eastAsia"/>
                <w:kern w:val="0"/>
                <w:sz w:val="21"/>
                <w:szCs w:val="21"/>
              </w:rPr>
              <w:t>对县城重点镇棚户区房屋进行功能性改造、结构加固，同时对老旧的给排水、电力线路、道路、绿化亮化、电梯等附属配套设施进行提质改造，计划改造总户数1800余户，改造面积约14400平米，计划投资9.2亿元。</w:t>
            </w:r>
          </w:p>
        </w:tc>
      </w:tr>
    </w:tbl>
    <w:p>
      <w:pPr>
        <w:pStyle w:val="5"/>
        <w:ind w:firstLine="643"/>
      </w:pPr>
      <w:bookmarkStart w:id="206" w:name="_Toc31658"/>
      <w:r>
        <w:rPr>
          <w:rFonts w:hint="eastAsia"/>
        </w:rPr>
        <w:t>第八节 加强房地产监管，建设高端商住小区</w:t>
      </w:r>
      <w:bookmarkEnd w:id="206"/>
    </w:p>
    <w:p>
      <w:pPr>
        <w:pStyle w:val="6"/>
        <w:ind w:firstLine="562"/>
      </w:pPr>
      <w:r>
        <w:rPr>
          <w:rFonts w:hint="eastAsia"/>
        </w:rPr>
        <w:t>5.8.1主要目标</w:t>
      </w:r>
    </w:p>
    <w:p>
      <w:pPr>
        <w:ind w:firstLine="560"/>
      </w:pPr>
      <w:r>
        <w:rPr>
          <w:rFonts w:hint="eastAsia"/>
        </w:rPr>
        <w:t>根据2</w:t>
      </w:r>
      <w:r>
        <w:t>021</w:t>
      </w:r>
      <w:r>
        <w:rPr>
          <w:rFonts w:hint="eastAsia"/>
        </w:rPr>
        <w:t>年中央经济工作会议明确提出：“促进房地产业平稳健康发展”，坚持房子是用来住的、不是用来炒的定位，降杠杆防风险，促进房地产业转型发展，改善供给，使房地产业提供的产品和服务更加符合</w:t>
      </w:r>
      <w:r>
        <w:rPr>
          <w:rFonts w:hint="eastAsia"/>
          <w:lang w:val="en-US" w:eastAsia="zh-CN"/>
        </w:rPr>
        <w:t>人民</w:t>
      </w:r>
      <w:r>
        <w:rPr>
          <w:rFonts w:hint="eastAsia"/>
        </w:rPr>
        <w:t>群众增长的居住生活需要。</w:t>
      </w:r>
    </w:p>
    <w:p>
      <w:pPr>
        <w:ind w:firstLine="560"/>
      </w:pPr>
      <w:r>
        <w:rPr>
          <w:rFonts w:hint="eastAsia"/>
        </w:rPr>
        <w:t>根据“十四五”城镇化发展目标，“十四五”期间开发商住小区2</w:t>
      </w:r>
      <w:r>
        <w:t>00</w:t>
      </w:r>
      <w:r>
        <w:rPr>
          <w:rFonts w:hint="eastAsia"/>
        </w:rPr>
        <w:t>万平米，新增商品房1</w:t>
      </w:r>
      <w:r>
        <w:t>5000</w:t>
      </w:r>
      <w:r>
        <w:rPr>
          <w:rFonts w:hint="eastAsia"/>
        </w:rPr>
        <w:t>套，房地产业产值达到1</w:t>
      </w:r>
      <w:r>
        <w:t>10</w:t>
      </w:r>
      <w:r>
        <w:rPr>
          <w:rFonts w:hint="eastAsia"/>
        </w:rPr>
        <w:t>亿元。</w:t>
      </w:r>
    </w:p>
    <w:p>
      <w:pPr>
        <w:pStyle w:val="6"/>
        <w:ind w:firstLine="562"/>
        <w:rPr>
          <w:rFonts w:ascii="仿宋" w:hAnsi="仿宋" w:cs="仿宋"/>
        </w:rPr>
      </w:pPr>
      <w:r>
        <w:rPr>
          <w:rFonts w:hint="eastAsia"/>
        </w:rPr>
        <w:t>5.8.2 主要任务</w:t>
      </w:r>
    </w:p>
    <w:p>
      <w:pPr>
        <w:ind w:firstLine="560"/>
      </w:pPr>
      <w:r>
        <w:rPr>
          <w:rFonts w:hint="eastAsia"/>
        </w:rPr>
        <w:t>房地产企业要在满足市场需求情况下策划项目。解决群众的生产生活难题，根据市场需求，开发不同档次的房地产商品，适应各个阶层群众的需求。十四五期间，建议在新城区建设大型复合型房地产项目。</w:t>
      </w:r>
      <w:r>
        <w:rPr>
          <w:szCs w:val="30"/>
        </w:rPr>
        <w:t>加强住房小区物业服务行业法制建设，推动物业服务行业在城市社会管理中发挥积极作用。</w:t>
      </w:r>
    </w:p>
    <w:p>
      <w:pPr>
        <w:ind w:firstLine="560"/>
      </w:pPr>
      <w:r>
        <w:rPr>
          <w:rFonts w:hint="eastAsia"/>
        </w:rPr>
        <w:t>——平衡把握供需市场，科学合理规划，保障分类用地规模，准确把控开发节奏，确保房地产项目有序开发；</w:t>
      </w:r>
    </w:p>
    <w:p>
      <w:pPr>
        <w:ind w:firstLine="560"/>
      </w:pPr>
      <w:r>
        <w:rPr>
          <w:rFonts w:hint="eastAsia"/>
        </w:rPr>
        <w:t>——突出保障性住房重点，加快保障性安居工程规划建设，确保政策性住房用地规模，保障普通商品住房及用地供应，满足市民基本住房需求；</w:t>
      </w:r>
    </w:p>
    <w:p>
      <w:pPr>
        <w:ind w:firstLine="560"/>
      </w:pPr>
      <w:r>
        <w:rPr>
          <w:rFonts w:hint="eastAsia"/>
        </w:rPr>
        <w:t>——加强市场管控，严格开发资质，严肃项目建设和开发程序，严格管控各类手续报批办理，防范房地产风险，紧密全过程跟踪监管，防范各类风险，加强市场监测和信息发布管理；</w:t>
      </w:r>
    </w:p>
    <w:p>
      <w:pPr>
        <w:ind w:firstLine="560"/>
      </w:pPr>
      <w:r>
        <w:rPr>
          <w:rFonts w:hint="eastAsia"/>
        </w:rPr>
        <w:t>——注重城市综合体项目培育，坚持商住和产业植入相结合，做到开发一个楼盘，建成一个小区，带活一方经济，培育一系列产业；</w:t>
      </w:r>
    </w:p>
    <w:p>
      <w:pPr>
        <w:ind w:firstLine="560"/>
      </w:pPr>
      <w:r>
        <w:rPr>
          <w:rFonts w:hint="eastAsia"/>
        </w:rPr>
        <w:t>——注重项目品质，完善相关配套，满足群众美好生活需求。</w:t>
      </w:r>
    </w:p>
    <w:p>
      <w:pPr>
        <w:pStyle w:val="6"/>
        <w:ind w:firstLine="562"/>
      </w:pPr>
      <w:r>
        <w:rPr>
          <w:rFonts w:hint="eastAsia"/>
        </w:rPr>
        <w:t>5.8.3</w:t>
      </w:r>
      <w:r>
        <w:t xml:space="preserve"> </w:t>
      </w:r>
      <w:r>
        <w:rPr>
          <w:rFonts w:hint="eastAsia"/>
        </w:rPr>
        <w:t>重点项目</w:t>
      </w:r>
    </w:p>
    <w:p>
      <w:pPr>
        <w:ind w:firstLine="560"/>
      </w:pPr>
      <w:r>
        <w:rPr>
          <w:rFonts w:hint="eastAsia"/>
        </w:rPr>
        <w:t>——盘活老城区存量闲置公共土地资源，城中村土地资源，规划包装商住项目，十四五期间，对梨子园社区、竹山塘社区、双井社区、横江社区、长岭社区等存量土地实行整体规划、项目包装和适度开发；</w:t>
      </w:r>
    </w:p>
    <w:p>
      <w:pPr>
        <w:ind w:firstLine="560"/>
      </w:pPr>
      <w:r>
        <w:rPr>
          <w:rFonts w:hint="eastAsia"/>
        </w:rPr>
        <w:t>——结合城市功能区布局，对应推进相关商住规划项目，结合县行政中心项目、县综合交通枢纽项目、商贸中心、物流中心项目、文体中心项目、城北人民医院分院项目等进行房地产项目包装开发。</w:t>
      </w:r>
    </w:p>
    <w:p>
      <w:pPr>
        <w:ind w:firstLine="560"/>
      </w:pPr>
      <w:r>
        <w:rPr>
          <w:rFonts w:hint="eastAsia"/>
        </w:rPr>
        <w:t>——加强房地产开发商住小区充电桩配套建设，新建商住小区专属停车位配置率要达到1</w:t>
      </w:r>
      <w:r>
        <w:t>00%</w:t>
      </w:r>
      <w:r>
        <w:rPr>
          <w:rFonts w:hint="eastAsia"/>
        </w:rPr>
        <w:t>，预留电动汽车充电桩安装条件，建立有序充配电智慧电网，推进既有小区停车位改造，建立有序的充配电设施，鼓励充电基础设施建设运营企业与业主委员会、物业企业合作经营。</w:t>
      </w:r>
    </w:p>
    <w:p>
      <w:pPr>
        <w:pStyle w:val="5"/>
        <w:ind w:firstLine="643"/>
      </w:pPr>
      <w:bookmarkStart w:id="207" w:name="_Toc28463"/>
      <w:r>
        <w:rPr>
          <w:rFonts w:hint="eastAsia"/>
        </w:rPr>
        <w:t>第九节 推进数字管理，建设智慧智能城市</w:t>
      </w:r>
      <w:bookmarkEnd w:id="207"/>
    </w:p>
    <w:p>
      <w:pPr>
        <w:pStyle w:val="6"/>
        <w:ind w:firstLine="562"/>
      </w:pPr>
      <w:r>
        <w:rPr>
          <w:rFonts w:hint="eastAsia"/>
        </w:rPr>
        <w:t>5</w:t>
      </w:r>
      <w:r>
        <w:t>.9</w:t>
      </w:r>
      <w:r>
        <w:rPr>
          <w:rFonts w:hint="eastAsia"/>
        </w:rPr>
        <w:t>.</w:t>
      </w:r>
      <w:r>
        <w:t>1</w:t>
      </w:r>
      <w:r>
        <w:rPr>
          <w:rFonts w:hint="eastAsia"/>
        </w:rPr>
        <w:t>主要目标</w:t>
      </w:r>
    </w:p>
    <w:p>
      <w:pPr>
        <w:ind w:firstLine="560"/>
      </w:pPr>
      <w:r>
        <w:rPr>
          <w:rFonts w:hint="eastAsia"/>
        </w:rPr>
        <w:t>新型智慧城市五大目标</w:t>
      </w:r>
    </w:p>
    <w:p>
      <w:pPr>
        <w:ind w:firstLine="560"/>
      </w:pPr>
      <w:r>
        <w:rPr>
          <w:rFonts w:hint="eastAsia"/>
        </w:rPr>
        <w:t>1、提升市民生活品质</w:t>
      </w:r>
    </w:p>
    <w:p>
      <w:pPr>
        <w:ind w:firstLine="560"/>
      </w:pPr>
      <w:r>
        <w:rPr>
          <w:rFonts w:hint="eastAsia"/>
        </w:rPr>
        <w:t>构建智慧民生服务体系，实现医疗健康、就业、公共安全、教育等智慧民生服务信息的数据开放、共享与融合。</w:t>
      </w:r>
    </w:p>
    <w:p>
      <w:pPr>
        <w:ind w:firstLine="560"/>
      </w:pPr>
      <w:r>
        <w:rPr>
          <w:rFonts w:hint="eastAsia"/>
        </w:rPr>
        <w:t>2、提升城市治理效率</w:t>
      </w:r>
    </w:p>
    <w:p>
      <w:pPr>
        <w:ind w:firstLine="560"/>
      </w:pPr>
      <w:r>
        <w:rPr>
          <w:rFonts w:hint="eastAsia"/>
        </w:rPr>
        <w:t>发挥信息数据在城市管理中的作用，利用信息化技术推动城市治理体系的现代化，构建统一的城市数据平台。</w:t>
      </w:r>
    </w:p>
    <w:p>
      <w:pPr>
        <w:ind w:firstLine="560"/>
      </w:pPr>
      <w:r>
        <w:rPr>
          <w:rFonts w:hint="eastAsia"/>
        </w:rPr>
        <w:t>3、数据开放与融合</w:t>
      </w:r>
    </w:p>
    <w:p>
      <w:pPr>
        <w:ind w:firstLine="560"/>
      </w:pPr>
      <w:r>
        <w:rPr>
          <w:rFonts w:hint="eastAsia"/>
        </w:rPr>
        <w:t>构建政务信息数据资源共享平台，打破教育、交通、经济等各个领域的数据障碍，实现数据互联互通。</w:t>
      </w:r>
    </w:p>
    <w:p>
      <w:pPr>
        <w:ind w:firstLine="560"/>
      </w:pPr>
      <w:r>
        <w:rPr>
          <w:rFonts w:hint="eastAsia"/>
        </w:rPr>
        <w:t>4、发展绿色经济</w:t>
      </w:r>
    </w:p>
    <w:p>
      <w:pPr>
        <w:ind w:firstLine="560"/>
      </w:pPr>
      <w:r>
        <w:rPr>
          <w:rFonts w:hint="eastAsia"/>
        </w:rPr>
        <w:t>构建可持续的绿色生态发展体系，实现环境保护、能源管理等领域与经济的协调发展。</w:t>
      </w:r>
    </w:p>
    <w:p>
      <w:pPr>
        <w:ind w:firstLine="560"/>
      </w:pPr>
      <w:r>
        <w:rPr>
          <w:rFonts w:hint="eastAsia"/>
        </w:rPr>
        <w:t>5、提升网络安全</w:t>
      </w:r>
    </w:p>
    <w:p>
      <w:pPr>
        <w:ind w:firstLine="560"/>
      </w:pPr>
      <w:r>
        <w:rPr>
          <w:rFonts w:hint="eastAsia"/>
        </w:rPr>
        <w:t>政务外网、公共互联网、物联网等网络之间互联，利用新一代技术保证信息与数据传递的安全。</w:t>
      </w:r>
    </w:p>
    <w:p>
      <w:pPr>
        <w:pStyle w:val="6"/>
        <w:ind w:firstLine="562"/>
      </w:pPr>
      <w:r>
        <w:rPr>
          <w:rFonts w:hint="eastAsia"/>
        </w:rPr>
        <w:t>5</w:t>
      </w:r>
      <w:r>
        <w:t xml:space="preserve">.9.2 </w:t>
      </w:r>
      <w:r>
        <w:rPr>
          <w:rFonts w:hint="eastAsia"/>
        </w:rPr>
        <w:t>主要任务</w:t>
      </w:r>
    </w:p>
    <w:p>
      <w:pPr>
        <w:ind w:firstLine="560"/>
      </w:pPr>
      <w:r>
        <w:rPr>
          <w:rFonts w:hint="eastAsia"/>
        </w:rPr>
        <w:t>——夯实智慧基础设施</w:t>
      </w:r>
    </w:p>
    <w:p>
      <w:pPr>
        <w:ind w:firstLine="560"/>
      </w:pPr>
      <w:r>
        <w:rPr>
          <w:rFonts w:hint="eastAsia"/>
        </w:rPr>
        <w:t>通过建设高速宽带新一代信息基础设施，同时推进智慧政务、智慧交通、智慧安防、智慧消防、智能管网等城市基础设施建设，形成高度一体化、智能化的新型城市基础设施。</w:t>
      </w:r>
    </w:p>
    <w:p>
      <w:pPr>
        <w:ind w:firstLine="560"/>
      </w:pPr>
      <w:r>
        <w:rPr>
          <w:rFonts w:hint="eastAsia"/>
        </w:rPr>
        <w:t>——实施智慧运行</w:t>
      </w:r>
    </w:p>
    <w:p>
      <w:pPr>
        <w:ind w:firstLine="560"/>
      </w:pPr>
      <w:r>
        <w:rPr>
          <w:rFonts w:hint="eastAsia"/>
        </w:rPr>
        <w:t>通过加强物联网、云计算、视频监控等技术手段在城市运行中的应用，实现智慧城市运行监测和智能安保应急，提高政府精准管理能力，使城市运行更加安全高效。</w:t>
      </w:r>
    </w:p>
    <w:p>
      <w:pPr>
        <w:ind w:firstLine="560"/>
      </w:pPr>
      <w:r>
        <w:rPr>
          <w:rFonts w:hint="eastAsia"/>
        </w:rPr>
        <w:t>——开展智慧服务</w:t>
      </w:r>
    </w:p>
    <w:p>
      <w:pPr>
        <w:ind w:firstLine="560"/>
      </w:pPr>
      <w:r>
        <w:rPr>
          <w:rFonts w:hint="eastAsia"/>
        </w:rPr>
        <w:t>通过实施智慧医疗、智慧教育、智能金融、智能社区、智能家庭等一系列智慧应用，使城市服务更加及时便捷，有效提高市民的满意度，真正将城市发展的成果惠及大众。</w:t>
      </w:r>
    </w:p>
    <w:p>
      <w:pPr>
        <w:pStyle w:val="6"/>
        <w:ind w:firstLine="562"/>
      </w:pPr>
      <w:r>
        <w:rPr>
          <w:rFonts w:hint="eastAsia"/>
        </w:rPr>
        <w:t>5</w:t>
      </w:r>
      <w:r>
        <w:t xml:space="preserve">.9.3 </w:t>
      </w:r>
      <w:r>
        <w:rPr>
          <w:rFonts w:hint="eastAsia"/>
        </w:rPr>
        <w:t>重点项目</w:t>
      </w:r>
    </w:p>
    <w:p>
      <w:pPr>
        <w:ind w:firstLine="560"/>
      </w:pPr>
      <w:r>
        <w:rPr>
          <w:rFonts w:hint="eastAsia"/>
        </w:rPr>
        <w:t>重点建设</w:t>
      </w:r>
      <w:r>
        <w:t>智慧城市基础通讯网络建设、电子政务云平台建设、智慧城管建设工程、网格化综合信息平台、智慧党建、智慧综治、雪亮工程、智慧城市数据中心、 智慧政务、网络建设、智慧城市管理与运行中心建设、城市排涝及安全监控管理平台建设、地下管网监控管理平台、智慧警务建设、智慧应急管理体系建设、智慧安监建设工程、食品药品安全信息监督服务平台、智慧环保建设工程、智慧国土建设、智慧民生WIFI覆盖建设、智慧教育建设工程、市民卡平台建设和推广使用、智慧旅游、智能交通建设工程、智慧医疗建设工程、智慧社区示范工程、产业管理系统建设、电子商务推进建设、两化融合推进项目、智慧林业建设、征信信息平台建设、智慧水利建设、智慧农业</w:t>
      </w:r>
      <w:r>
        <w:rPr>
          <w:rFonts w:hint="eastAsia"/>
        </w:rPr>
        <w:t>等项目。</w:t>
      </w:r>
    </w:p>
    <w:p>
      <w:pPr>
        <w:pStyle w:val="5"/>
        <w:ind w:firstLine="643"/>
      </w:pPr>
      <w:bookmarkStart w:id="208" w:name="_Toc22561"/>
      <w:r>
        <w:rPr>
          <w:rFonts w:hint="eastAsia"/>
        </w:rPr>
        <w:t>第十节 加强建筑行业监管，规范建设市场秩序</w:t>
      </w:r>
      <w:bookmarkEnd w:id="208"/>
    </w:p>
    <w:p>
      <w:pPr>
        <w:ind w:firstLine="643"/>
        <w:rPr>
          <w:rFonts w:ascii="宋体" w:hAnsi="宋体" w:cs="宋体"/>
          <w:b/>
          <w:bCs/>
          <w:kern w:val="0"/>
          <w:sz w:val="32"/>
          <w:szCs w:val="36"/>
        </w:rPr>
      </w:pPr>
      <w:r>
        <w:rPr>
          <w:rFonts w:hint="eastAsia" w:ascii="宋体" w:hAnsi="宋体" w:cs="宋体"/>
          <w:b/>
          <w:bCs/>
          <w:kern w:val="0"/>
          <w:sz w:val="32"/>
          <w:szCs w:val="36"/>
        </w:rPr>
        <w:t xml:space="preserve">6.10.1 主要目标 </w:t>
      </w:r>
    </w:p>
    <w:p>
      <w:pPr>
        <w:ind w:firstLine="560"/>
      </w:pPr>
      <w:r>
        <w:rPr>
          <w:rFonts w:hint="eastAsia"/>
        </w:rPr>
        <w:t>贯彻落实《中华人民共和国建筑法》，保障建筑工程生产安全、建筑质量不断提升、建筑市场规范有序、建筑产业平稳健康持续发展。</w:t>
      </w:r>
    </w:p>
    <w:p>
      <w:pPr>
        <w:ind w:firstLine="643"/>
        <w:rPr>
          <w:rFonts w:ascii="宋体" w:hAnsi="宋体" w:cs="宋体"/>
          <w:b/>
          <w:bCs/>
          <w:kern w:val="0"/>
          <w:sz w:val="32"/>
          <w:szCs w:val="36"/>
        </w:rPr>
      </w:pPr>
      <w:r>
        <w:rPr>
          <w:rFonts w:hint="eastAsia" w:ascii="宋体" w:hAnsi="宋体" w:cs="宋体"/>
          <w:b/>
          <w:bCs/>
          <w:kern w:val="0"/>
          <w:sz w:val="32"/>
          <w:szCs w:val="36"/>
        </w:rPr>
        <w:t xml:space="preserve">6.10.2 主要任务 </w:t>
      </w:r>
    </w:p>
    <w:p>
      <w:pPr>
        <w:ind w:firstLine="560"/>
      </w:pPr>
      <w:r>
        <w:rPr>
          <w:rFonts w:hint="eastAsia"/>
        </w:rPr>
        <w:t>加强建设工程质量安全监管。以落实工程质量安全责任为核心，以保障性住房和城市基础设施等工程的质量安全监管为重点，加强重点领域工程质量监管，促进工程质量稳步提升。强化对住房特别是保障性住房以及重要市政基础设施的工程质量监管，加强监管队伍建设，创新工程质量监督方式方法和检查制度，重点开展保障性住房质量的监督检查，推行保障性住房分户验收制度。深入开展建筑安全专项治理，加大安全督查和事故查处力度，深入开展以深基坑、高支模、脚手架和建筑起重机械设备为重点的建筑安全专项治理活动，制定具体的治理方案，防范和遏制建筑生产安全事故的发生。</w:t>
      </w:r>
    </w:p>
    <w:p>
      <w:pPr>
        <w:ind w:firstLine="560"/>
      </w:pPr>
      <w:r>
        <w:rPr>
          <w:rFonts w:hint="eastAsia"/>
        </w:rPr>
        <w:t>加强建筑市场监管。充分利用“建筑市场监督管理信息系统”，加强建筑市场的动态监管，全面掌握辖区内建筑企业资质、生产经营、从业人员资格和工程项目的基本情况。</w:t>
      </w:r>
    </w:p>
    <w:p>
      <w:pPr>
        <w:ind w:firstLine="643"/>
        <w:rPr>
          <w:rFonts w:ascii="宋体" w:hAnsi="宋体" w:cs="宋体"/>
          <w:b/>
          <w:bCs/>
          <w:kern w:val="0"/>
          <w:sz w:val="32"/>
          <w:szCs w:val="36"/>
        </w:rPr>
      </w:pPr>
      <w:r>
        <w:rPr>
          <w:rFonts w:hint="eastAsia" w:ascii="宋体" w:hAnsi="宋体" w:cs="宋体"/>
          <w:b/>
          <w:bCs/>
          <w:kern w:val="0"/>
          <w:sz w:val="32"/>
          <w:szCs w:val="36"/>
        </w:rPr>
        <w:t xml:space="preserve">6.10.3 重点项目 </w:t>
      </w:r>
    </w:p>
    <w:p>
      <w:pPr>
        <w:ind w:firstLine="560"/>
      </w:pPr>
      <w:r>
        <w:rPr>
          <w:rFonts w:hint="eastAsia"/>
        </w:rPr>
        <w:t>投资建设全县建筑行业综合服务平台，实时监管建设单位、建筑工程、建筑市场，确保建筑产业平稳健康持续发展。</w:t>
      </w:r>
    </w:p>
    <w:p>
      <w:pPr>
        <w:pStyle w:val="5"/>
        <w:ind w:firstLine="643"/>
      </w:pPr>
      <w:bookmarkStart w:id="209" w:name="_Toc18495"/>
      <w:r>
        <w:rPr>
          <w:rFonts w:hint="eastAsia"/>
        </w:rPr>
        <w:t>第十一节 加强物业管理，建设和谐平安社区</w:t>
      </w:r>
      <w:bookmarkEnd w:id="209"/>
    </w:p>
    <w:p>
      <w:pPr>
        <w:ind w:firstLine="643"/>
        <w:rPr>
          <w:rFonts w:ascii="宋体" w:hAnsi="宋体" w:cs="宋体"/>
          <w:b/>
          <w:bCs/>
          <w:kern w:val="0"/>
          <w:sz w:val="32"/>
          <w:szCs w:val="36"/>
        </w:rPr>
      </w:pPr>
      <w:r>
        <w:rPr>
          <w:rFonts w:hint="eastAsia" w:ascii="宋体" w:hAnsi="宋体" w:cs="宋体"/>
          <w:b/>
          <w:bCs/>
          <w:kern w:val="0"/>
          <w:sz w:val="32"/>
          <w:szCs w:val="36"/>
        </w:rPr>
        <w:t xml:space="preserve">6.11.1 主要目标 </w:t>
      </w:r>
    </w:p>
    <w:p>
      <w:pPr>
        <w:ind w:firstLine="560"/>
      </w:pPr>
      <w:r>
        <w:rPr>
          <w:rFonts w:hint="eastAsia"/>
        </w:rPr>
        <w:t>规范物业管理活动，维护业主和物业服务企业的合法权益，改善人民群众的生活和工作环境；鼓励采用新技术、新方法，依靠科技进步提高物业管理和服务水平；提升物业管理服务质量，构建和谐平安社区。</w:t>
      </w:r>
    </w:p>
    <w:p>
      <w:pPr>
        <w:ind w:firstLine="643"/>
      </w:pPr>
      <w:r>
        <w:rPr>
          <w:rFonts w:hint="eastAsia" w:ascii="宋体" w:hAnsi="宋体" w:cs="宋体"/>
          <w:b/>
          <w:bCs/>
          <w:kern w:val="0"/>
          <w:sz w:val="32"/>
          <w:szCs w:val="36"/>
        </w:rPr>
        <w:t xml:space="preserve">6.11.2 主要任务 </w:t>
      </w:r>
      <w:r>
        <w:rPr>
          <w:rFonts w:hint="eastAsia"/>
        </w:rPr>
        <w:t>按照国务院颁发的《物业管理条例》，加强对商住小区建设单位的监管，维护业主权益，监督建设单位建设单位应当向物业服务企业移交竣工总平面图，单体建筑、结构、设备竣工图，配套设施、地下管网工程竣工图、设施设备的安装、使用和维护保养等技术资料、物业质量保修文件和物业使用说明文件、物业管理所必需的其他资料等；监督建设单位，通过公开、公平、公正的市场竞争机制选择物业服务企业；建立监管机制，监督物业服务企业，按照物业服务合同的约定，提供相应物业服务，及时办理业主投诉；指导街道、社区依法产生业主委员会，维护业主权益，履行业主义务；监督物业维修基金的收集、使用和管理，确保业主生产生活安全，维护群众的生活秩序。</w:t>
      </w:r>
    </w:p>
    <w:p>
      <w:pPr>
        <w:ind w:firstLine="643"/>
        <w:rPr>
          <w:rFonts w:ascii="宋体" w:hAnsi="宋体" w:cs="宋体"/>
          <w:b/>
          <w:bCs/>
          <w:kern w:val="0"/>
          <w:sz w:val="32"/>
          <w:szCs w:val="36"/>
        </w:rPr>
      </w:pPr>
      <w:r>
        <w:rPr>
          <w:rFonts w:hint="eastAsia" w:ascii="宋体" w:hAnsi="宋体" w:cs="宋体"/>
          <w:b/>
          <w:bCs/>
          <w:kern w:val="0"/>
          <w:sz w:val="32"/>
          <w:szCs w:val="36"/>
        </w:rPr>
        <w:t xml:space="preserve">6.11.3 重点项目 </w:t>
      </w:r>
    </w:p>
    <w:p>
      <w:pPr>
        <w:ind w:firstLine="560"/>
      </w:pPr>
      <w:r>
        <w:rPr>
          <w:rFonts w:hint="eastAsia"/>
        </w:rPr>
        <w:t>探索建设全县商住小区物业管理综合服务平台，实时监管建设单位、物业服务企业和业主委员会工作；鼓励开发商、建设单位和物业服务企业、业主委员会，齐心协力，建设智慧社区，提升服务质量、生活质量，构建和谐、幸福、平安社区。</w:t>
      </w:r>
    </w:p>
    <w:p>
      <w:pPr>
        <w:pStyle w:val="5"/>
        <w:ind w:firstLine="643"/>
      </w:pPr>
      <w:bookmarkStart w:id="210" w:name="_Toc22200"/>
      <w:r>
        <w:rPr>
          <w:rFonts w:hint="eastAsia"/>
        </w:rPr>
        <w:t>第十二节 推进新型应用，建设创新节能城市</w:t>
      </w:r>
      <w:bookmarkEnd w:id="210"/>
    </w:p>
    <w:p>
      <w:pPr>
        <w:pStyle w:val="6"/>
        <w:ind w:firstLine="562"/>
      </w:pPr>
      <w:r>
        <w:rPr>
          <w:rFonts w:hint="eastAsia"/>
        </w:rPr>
        <w:t>6</w:t>
      </w:r>
      <w:r>
        <w:t>.1</w:t>
      </w:r>
      <w:r>
        <w:rPr>
          <w:rFonts w:hint="eastAsia"/>
        </w:rPr>
        <w:t>2</w:t>
      </w:r>
      <w:r>
        <w:t>.1</w:t>
      </w:r>
      <w:r>
        <w:rPr>
          <w:rFonts w:hint="eastAsia"/>
        </w:rPr>
        <w:t>主要目标</w:t>
      </w:r>
    </w:p>
    <w:p>
      <w:pPr>
        <w:ind w:firstLine="560"/>
      </w:pPr>
      <w:r>
        <w:rPr>
          <w:rFonts w:hint="eastAsia"/>
        </w:rPr>
        <w:t>新材料应用是新型城镇化的重要标志，“十四五”期间隆回县城建设要以实现新型城镇化转型发展为目标，积极引进和推广建筑新概念、新技术、新材料、新工艺，高效利用资源，降低建筑成本，节约建筑耗能，推广新型应用。将魏源的改革开放文化作为地域特色，通过建筑风格风貌，培育和彰显隆回县城独具特色的城市文化价值理念，突出“改革开放、敢闯敢冒、先行先试、阳光活力”的文化主题，逐渐展示隆回城市建设的地方个性和城市灵魂。</w:t>
      </w:r>
    </w:p>
    <w:p>
      <w:pPr>
        <w:pStyle w:val="6"/>
        <w:ind w:firstLine="562"/>
      </w:pPr>
      <w:r>
        <w:rPr>
          <w:rFonts w:hint="eastAsia"/>
        </w:rPr>
        <w:t>6</w:t>
      </w:r>
      <w:r>
        <w:t>.1</w:t>
      </w:r>
      <w:r>
        <w:rPr>
          <w:rFonts w:hint="eastAsia"/>
        </w:rPr>
        <w:t>2</w:t>
      </w:r>
      <w:r>
        <w:t xml:space="preserve">.2 </w:t>
      </w:r>
      <w:r>
        <w:rPr>
          <w:rFonts w:hint="eastAsia"/>
        </w:rPr>
        <w:t>主要任务</w:t>
      </w:r>
    </w:p>
    <w:p>
      <w:pPr>
        <w:ind w:firstLine="560"/>
      </w:pPr>
      <w:r>
        <w:rPr>
          <w:rFonts w:hint="eastAsia"/>
        </w:rPr>
        <w:t>——建筑新概念：在城市发展规划、建筑设计、改造装修的各个环节，都要植入城市价值、城市文化、、绿色建筑、地方特色元素，用地方文化主题统领隆回城市规划、设计、建设的全过程，树立城市的精神品格。</w:t>
      </w:r>
    </w:p>
    <w:p>
      <w:pPr>
        <w:ind w:firstLine="560"/>
      </w:pPr>
      <w:r>
        <w:rPr>
          <w:rFonts w:hint="eastAsia"/>
        </w:rPr>
        <w:t>——建筑新技术：推广应用</w:t>
      </w:r>
      <w:r>
        <w:t>地基基础和地下空间工程技术</w:t>
      </w:r>
      <w:r>
        <w:rPr>
          <w:rFonts w:hint="eastAsia"/>
        </w:rPr>
        <w:t>、</w:t>
      </w:r>
      <w:r>
        <w:t>钢筋与混凝土技术</w:t>
      </w:r>
      <w:r>
        <w:rPr>
          <w:rFonts w:hint="eastAsia"/>
        </w:rPr>
        <w:t>、</w:t>
      </w:r>
      <w:r>
        <w:t>钢结构技术</w:t>
      </w:r>
      <w:r>
        <w:rPr>
          <w:rFonts w:hint="eastAsia"/>
        </w:rPr>
        <w:t>、</w:t>
      </w:r>
      <w:r>
        <w:t>机电安装工程技术</w:t>
      </w:r>
      <w:r>
        <w:rPr>
          <w:rFonts w:hint="eastAsia"/>
        </w:rPr>
        <w:t>、</w:t>
      </w:r>
      <w:r>
        <w:t>绿色施工技术</w:t>
      </w:r>
      <w:r>
        <w:rPr>
          <w:rFonts w:hint="eastAsia"/>
        </w:rPr>
        <w:t>、</w:t>
      </w:r>
      <w:r>
        <w:t>防水技术与围护结构节能</w:t>
      </w:r>
      <w:r>
        <w:rPr>
          <w:rFonts w:hint="eastAsia"/>
        </w:rPr>
        <w:t>、</w:t>
      </w:r>
      <w:r>
        <w:t>抗震、加固与监测技术</w:t>
      </w:r>
      <w:r>
        <w:rPr>
          <w:rFonts w:hint="eastAsia"/>
        </w:rPr>
        <w:t>、</w:t>
      </w:r>
      <w:r>
        <w:t>安全监测技术</w:t>
      </w:r>
      <w:r>
        <w:rPr>
          <w:rFonts w:hint="eastAsia"/>
        </w:rPr>
        <w:t>、</w:t>
      </w:r>
      <w:r>
        <w:t>信息化技术</w:t>
      </w:r>
      <w:r>
        <w:rPr>
          <w:rFonts w:hint="eastAsia"/>
        </w:rPr>
        <w:t>、节能节水新技术等新建筑技术。</w:t>
      </w:r>
    </w:p>
    <w:p>
      <w:pPr>
        <w:ind w:firstLine="560"/>
      </w:pPr>
      <w:r>
        <w:rPr>
          <w:rFonts w:hint="eastAsia"/>
        </w:rPr>
        <w:t>——建筑新材料：推广应用具备节源性、环保性、美观性、低成本、高性能等特性的新型建筑材料，例如发泡混凝土、透水环保砖等。</w:t>
      </w:r>
    </w:p>
    <w:p>
      <w:pPr>
        <w:ind w:firstLine="560"/>
      </w:pPr>
      <w:r>
        <w:rPr>
          <w:rFonts w:hint="eastAsia"/>
        </w:rPr>
        <w:t>——建筑新工艺：推广应用装配式建筑、新型轻钢结构建筑、环保工艺、建筑废弃物综合利用等新工艺和新项目。</w:t>
      </w:r>
    </w:p>
    <w:p>
      <w:pPr>
        <w:pStyle w:val="6"/>
        <w:ind w:firstLine="562"/>
      </w:pPr>
      <w:r>
        <w:rPr>
          <w:rFonts w:hint="eastAsia"/>
        </w:rPr>
        <w:t>6</w:t>
      </w:r>
      <w:r>
        <w:t>.1</w:t>
      </w:r>
      <w:r>
        <w:rPr>
          <w:rFonts w:hint="eastAsia"/>
        </w:rPr>
        <w:t>2</w:t>
      </w:r>
      <w:r>
        <w:t xml:space="preserve">.3 </w:t>
      </w:r>
      <w:r>
        <w:rPr>
          <w:rFonts w:hint="eastAsia"/>
        </w:rPr>
        <w:t>重点项目</w:t>
      </w:r>
    </w:p>
    <w:p>
      <w:pPr>
        <w:ind w:firstLine="560"/>
      </w:pPr>
      <w:r>
        <w:rPr>
          <w:rFonts w:hint="eastAsia"/>
        </w:rPr>
        <w:t>规划建设隆回县新型建筑材料市场、家具工业小区、装配式建筑生产基地、新型混凝土搅拌站等重点项目。</w:t>
      </w:r>
    </w:p>
    <w:p>
      <w:pPr>
        <w:pStyle w:val="5"/>
        <w:spacing w:afterAutospacing="0" w:line="360" w:lineRule="auto"/>
        <w:ind w:firstLine="643"/>
      </w:pPr>
      <w:bookmarkStart w:id="211" w:name="_Toc12227"/>
      <w:r>
        <w:rPr>
          <w:rFonts w:hint="eastAsia"/>
        </w:rPr>
        <w:t>第十三节 加强人防设施建设， 提高城市防护保障能力</w:t>
      </w:r>
      <w:bookmarkEnd w:id="211"/>
    </w:p>
    <w:p>
      <w:pPr>
        <w:pStyle w:val="6"/>
        <w:spacing w:line="360" w:lineRule="auto"/>
        <w:ind w:firstLine="562"/>
        <w:rPr>
          <w:rFonts w:ascii="宋体" w:hAnsi="宋体"/>
          <w:sz w:val="24"/>
          <w:szCs w:val="24"/>
        </w:rPr>
      </w:pPr>
      <w:r>
        <w:rPr>
          <w:rFonts w:hint="eastAsia"/>
        </w:rPr>
        <w:t>6</w:t>
      </w:r>
      <w:r>
        <w:t>.1</w:t>
      </w:r>
      <w:r>
        <w:rPr>
          <w:rFonts w:hint="eastAsia"/>
        </w:rPr>
        <w:t>3</w:t>
      </w:r>
      <w:r>
        <w:t>.1 主要目标</w:t>
      </w:r>
    </w:p>
    <w:p>
      <w:pPr>
        <w:ind w:firstLine="560"/>
      </w:pPr>
      <w:r>
        <w:rPr>
          <w:rFonts w:hint="eastAsia"/>
        </w:rPr>
        <w:t>在全县范围内建立统一高效的组织指挥体系、布局合理的人防工程体系、灵敏可靠的通信报警体系、精干过硬的专业队伍体系、保障有力的人口疏散体系，提升人防自我发展能力，增强隆回县人民的国防观念与人防意识，提高隆回县的城市整体抗毁能力，以利于隆回县人民防空能够应付现代战争及重大灾害事故，有效地保护国家和人民生命财产安全。</w:t>
      </w:r>
    </w:p>
    <w:p>
      <w:pPr>
        <w:spacing w:line="360" w:lineRule="auto"/>
        <w:ind w:firstLine="562"/>
        <w:rPr>
          <w:rFonts w:ascii="宋体" w:hAnsi="宋体" w:eastAsia="黑体"/>
          <w:sz w:val="24"/>
        </w:rPr>
      </w:pPr>
      <w:r>
        <w:rPr>
          <w:rFonts w:hint="eastAsia"/>
          <w:b/>
          <w:bCs/>
          <w:szCs w:val="32"/>
        </w:rPr>
        <w:t>6.13.2 主要任务</w:t>
      </w:r>
    </w:p>
    <w:p>
      <w:pPr>
        <w:ind w:firstLine="560"/>
      </w:pPr>
      <w:r>
        <w:rPr>
          <w:rFonts w:hint="eastAsia"/>
        </w:rPr>
        <w:t>“十四五”末期县城规划城区人口数40万人，规划战时留城人口比例65%，留城人口数26万人。十四五期间规划建设人防工程6万平米，留城人口人均人防建筑面积达到0.78平方米。严格落实《湖南省人民防空工程建设与维护管理规定》</w:t>
      </w:r>
      <w:r>
        <w:t>(省政府令第297号)</w:t>
      </w:r>
      <w:r>
        <w:rPr>
          <w:rFonts w:hint="eastAsia"/>
        </w:rPr>
        <w:t>及《湖南省防空地下室建设实施细则》，加强人防掩蔽工程、人防物资库、人防区域电站、人防警报点建设;推进医疗工程、专业队工程建设;地下空间开发利用按照有关规定兼顾人民防空需要。完善城市人防工程功能布局;重视对重要目标和城市基础设施的防护;控制危险目标可能产生的次生灾害;畅通城市主要疏散交通通道。</w:t>
      </w:r>
    </w:p>
    <w:p>
      <w:pPr>
        <w:pStyle w:val="5"/>
        <w:ind w:firstLine="643"/>
      </w:pPr>
      <w:bookmarkStart w:id="212" w:name="_Toc29808"/>
      <w:r>
        <w:rPr>
          <w:rFonts w:hint="eastAsia"/>
        </w:rPr>
        <w:t>第十四节 加强消防设施建设，提升消防安全保障</w:t>
      </w:r>
      <w:bookmarkEnd w:id="212"/>
    </w:p>
    <w:p>
      <w:pPr>
        <w:ind w:firstLine="562"/>
        <w:rPr>
          <w:b/>
          <w:bCs/>
          <w:szCs w:val="32"/>
        </w:rPr>
      </w:pPr>
      <w:r>
        <w:rPr>
          <w:rFonts w:hint="eastAsia"/>
          <w:b/>
          <w:bCs/>
          <w:szCs w:val="32"/>
        </w:rPr>
        <w:t xml:space="preserve">6.14.1 主要目标 </w:t>
      </w:r>
    </w:p>
    <w:p>
      <w:pPr>
        <w:ind w:firstLine="560"/>
      </w:pPr>
      <w:r>
        <w:rPr>
          <w:rFonts w:hint="eastAsia"/>
        </w:rPr>
        <w:t>总体目标：消防工作责任制全面落实；社区和有关部门消防工作</w:t>
      </w:r>
    </w:p>
    <w:p>
      <w:pPr>
        <w:ind w:firstLine="0" w:firstLineChars="0"/>
      </w:pPr>
      <w:r>
        <w:rPr>
          <w:rFonts w:hint="eastAsia"/>
        </w:rPr>
        <w:t>责任制落实到位，行业主管部门和执法监管部门依法开展消防工作；</w:t>
      </w:r>
    </w:p>
    <w:p>
      <w:pPr>
        <w:ind w:firstLine="0" w:firstLineChars="0"/>
      </w:pPr>
      <w:r>
        <w:rPr>
          <w:rFonts w:hint="eastAsia"/>
        </w:rPr>
        <w:t>社区、农村群众自治组织消防安全工作职责落实到位，居民火灾死亡</w:t>
      </w:r>
    </w:p>
    <w:p>
      <w:pPr>
        <w:ind w:firstLine="0" w:firstLineChars="0"/>
      </w:pPr>
      <w:r>
        <w:rPr>
          <w:rFonts w:hint="eastAsia"/>
        </w:rPr>
        <w:t>人数稳中有降；单位消防安全自我管理规范有序，自动消防设施维护</w:t>
      </w:r>
    </w:p>
    <w:p>
      <w:pPr>
        <w:ind w:firstLine="0" w:firstLineChars="0"/>
      </w:pPr>
      <w:r>
        <w:rPr>
          <w:rFonts w:hint="eastAsia"/>
        </w:rPr>
        <w:t>保养率达 100，消防设施合格率达 90 以上，消防控制室值班操作人</w:t>
      </w:r>
    </w:p>
    <w:p>
      <w:pPr>
        <w:ind w:firstLine="0" w:firstLineChars="0"/>
      </w:pPr>
      <w:r>
        <w:rPr>
          <w:rFonts w:hint="eastAsia"/>
        </w:rPr>
        <w:t>员持证上岗率达 100%；国民消防安全素质进一步提高，形成完善的</w:t>
      </w:r>
    </w:p>
    <w:p>
      <w:pPr>
        <w:ind w:firstLine="0" w:firstLineChars="0"/>
      </w:pPr>
      <w:r>
        <w:rPr>
          <w:rFonts w:hint="eastAsia"/>
        </w:rPr>
        <w:t>国民宣传教育培训体系和机制，提高消防宣传实效性；公共消防设施、消防装备建设和总体管理水平显著提升，全面开展消防装备建设评估</w:t>
      </w:r>
    </w:p>
    <w:p>
      <w:pPr>
        <w:ind w:firstLine="0" w:firstLineChars="0"/>
      </w:pPr>
      <w:r>
        <w:rPr>
          <w:rFonts w:hint="eastAsia"/>
        </w:rPr>
        <w:t>论证，同步完成消防规划修编工作；城市建成区消防站建设率达以上，市政消火栓建设达到国家标准的 95%以上，车辆器材装备和消防员个人防护装备配备齐全并提高科技含量；消防通信、消防供水等消防设施的维护管理工作常规化，正常维护率达到 95 以上；社会消防中介服务机构积极稳妥发展，积极建立消防协会，并充分发挥消防协会职能，拓宽消防中介服务组织职能，适应社会需要积极培育新的中介组织，促进消防与保险的良性互动；消防经费保障有力， 进一步完善消防事业发展经费保障机制，提高经费保障水平；多种形式消防力量发展壮大；积极争取增加现役消防力量，大力发展地方消防力量，进一步健全完善覆盖城乡的消防力量体系；消防部队的灭火和抢险救援能力进一步提高，以打造公安消防铁军为目标，加快消防综合训练基地规划、建设步伐，深入开展基地化、模拟实战化训练，以提高训练水平来促进部队整体灭火救援能力的提升；全县火灾形势保持基本稳定，全力排查整治火灾隐患，积极改善社会消防安全环境，重特大尤其是群死群伤火灾事故得到有效遏制。</w:t>
      </w:r>
    </w:p>
    <w:p>
      <w:pPr>
        <w:ind w:firstLine="0" w:firstLineChars="0"/>
        <w:rPr>
          <w:b/>
          <w:bCs/>
          <w:szCs w:val="32"/>
        </w:rPr>
      </w:pPr>
      <w:r>
        <w:rPr>
          <w:rFonts w:hint="eastAsia"/>
          <w:b/>
          <w:bCs/>
          <w:szCs w:val="32"/>
        </w:rPr>
        <w:t xml:space="preserve">6.14.2主要任务 </w:t>
      </w:r>
    </w:p>
    <w:p>
      <w:pPr>
        <w:ind w:firstLine="560"/>
      </w:pPr>
      <w:r>
        <w:rPr>
          <w:rFonts w:hint="eastAsia"/>
        </w:rPr>
        <w:t>依托“智慧城市”建设，积极研发智慧消防平台，运用物联网、大数据等新兴技术提升智慧消防，建设城市物联网消防远程监控系统，全面提升社会单位消防安全管理水平和消防监督执法效能。</w:t>
      </w:r>
    </w:p>
    <w:p>
      <w:pPr>
        <w:ind w:firstLine="562"/>
        <w:rPr>
          <w:b/>
          <w:bCs/>
          <w:szCs w:val="32"/>
        </w:rPr>
      </w:pPr>
      <w:r>
        <w:rPr>
          <w:rFonts w:hint="eastAsia"/>
          <w:b/>
          <w:bCs/>
          <w:szCs w:val="32"/>
        </w:rPr>
        <w:t xml:space="preserve">6.14.3重点项目 </w:t>
      </w:r>
    </w:p>
    <w:p>
      <w:pPr>
        <w:ind w:firstLine="560"/>
      </w:pPr>
      <w:r>
        <w:rPr>
          <w:rFonts w:hint="eastAsia"/>
        </w:rPr>
        <w:t>按照国家政策和标准完善城镇公共消防设施建设，合理布局和建设好消防站点、消防水池、消防通道、消防通讯平台，引进智慧消防先进技术，建设县城和重点镇智慧消防数字化平台；强化重点场所智慧消防设施的布局建设；加强消防队伍建设，提高消防应急能力；重点建设城市智慧消防预警系系统项目，全面应用大数据、物联网信息化技术,依托智慧城市建设,分级建成城市消防大数据库,实时化、智能化评估消防安全风险。提供消防监管平台、应急指挥平台、消防维保平台、消防值守平台、制造商平台、决策管理平台及业主用户平台，通过电脑 Web 或手机 APP,实现对消防工作的监督管理与动态监控，全面提升社会单位消防安全管理水平和消防监督执法效能。</w:t>
      </w:r>
    </w:p>
    <w:p>
      <w:pPr>
        <w:pStyle w:val="5"/>
        <w:spacing w:afterAutospacing="0" w:line="360" w:lineRule="auto"/>
        <w:ind w:firstLine="643"/>
      </w:pPr>
      <w:bookmarkStart w:id="213" w:name="_Toc24428"/>
      <w:r>
        <w:rPr>
          <w:rFonts w:hint="eastAsia"/>
        </w:rPr>
        <w:t>第十五节 统筹城乡</w:t>
      </w:r>
      <w:r>
        <w:rPr>
          <w:rFonts w:hint="eastAsia"/>
          <w:lang w:eastAsia="zh-CN"/>
        </w:rPr>
        <w:t>一体</w:t>
      </w:r>
      <w:r>
        <w:rPr>
          <w:rFonts w:hint="eastAsia"/>
        </w:rPr>
        <w:t>发展，推进美丽乡村建设</w:t>
      </w:r>
      <w:bookmarkEnd w:id="213"/>
    </w:p>
    <w:p>
      <w:pPr>
        <w:pStyle w:val="6"/>
        <w:spacing w:line="360" w:lineRule="auto"/>
        <w:ind w:firstLine="562"/>
      </w:pPr>
      <w:bookmarkStart w:id="214" w:name="_Hlk58969598"/>
      <w:r>
        <w:rPr>
          <w:rFonts w:hint="eastAsia"/>
        </w:rPr>
        <w:t>6</w:t>
      </w:r>
      <w:r>
        <w:t>.1</w:t>
      </w:r>
      <w:r>
        <w:rPr>
          <w:rFonts w:hint="eastAsia"/>
        </w:rPr>
        <w:t>5</w:t>
      </w:r>
      <w:r>
        <w:t xml:space="preserve">.1 </w:t>
      </w:r>
      <w:r>
        <w:rPr>
          <w:rFonts w:hint="eastAsia"/>
        </w:rPr>
        <w:t>主要目标</w:t>
      </w:r>
    </w:p>
    <w:p>
      <w:pPr>
        <w:ind w:firstLine="562"/>
        <w:rPr>
          <w:b/>
          <w:bCs/>
        </w:rPr>
      </w:pPr>
      <w:r>
        <w:rPr>
          <w:rFonts w:hint="eastAsia"/>
          <w:b/>
          <w:bCs/>
        </w:rPr>
        <w:t>乡村振兴目标。</w:t>
      </w:r>
    </w:p>
    <w:p>
      <w:pPr>
        <w:ind w:firstLine="560"/>
      </w:pPr>
      <w:r>
        <w:rPr>
          <w:rFonts w:hint="eastAsia"/>
        </w:rPr>
        <w:t>按照“生产发展、生活宽裕、乡风文明、生态宜居、村容整洁、管理民主”的总体要求，统筹城乡发展，建设美丽乡村，实现乡村振兴。坚持“科学规划、目标引导、试点先行、注重实效”的原则，以政策、人才、科技、组织为支撑，以发展农业生产、改善人居环境、传承生态文化、培育文明新风为途径，构建与资源环境相协调的农村生产生活方式，打造“生态宜居、生产高效、生活美好、人文和谐”的示范典型，形成各具特色的“美丽乡村”发展模式，进一步丰富和提升新农村建设内涵，全面推进现代农业发展、生态文明建设和农村社会管理。</w:t>
      </w:r>
      <w:r>
        <w:rPr>
          <w:rFonts w:hint="eastAsia"/>
        </w:rPr>
        <w:br w:type="textWrapping"/>
      </w:r>
      <w:r>
        <w:rPr>
          <w:rFonts w:hint="eastAsia"/>
        </w:rPr>
        <w:t>  </w:t>
      </w:r>
      <w:r>
        <w:t xml:space="preserve">  </w:t>
      </w:r>
      <w:r>
        <w:rPr>
          <w:rFonts w:hint="eastAsia"/>
        </w:rPr>
        <w:t>具体来说，目标体系从产业发展、生活舒适、民生和谐、文化传承、支撑保障5个方面设定具体目标，将原则性要求与约束性指标结合起来。每个乡村有一到两个主导产业；当地农民（不含外出务工人员）从主导产业中获得的收入占总收入的80%以上。标准化生产技术普及率达到90%，适宜机械化操作的地区（或产业）机械化综合作业率达到90%以上。资源利用方面，资源利用集约高效，农业废弃物循环利用，土地产出率、农业水资源利用率、农药化肥利用率和农膜回收率高于本县域平均水平；秸杆综合利用率达到95%以上，农业投入品包装回收率达到95%以上，人畜粪便处理利用率达到95%以上，病死畜禽无害化处理率达到100%。</w:t>
      </w:r>
    </w:p>
    <w:p>
      <w:pPr>
        <w:ind w:firstLine="562"/>
        <w:rPr>
          <w:b/>
          <w:bCs/>
        </w:rPr>
      </w:pPr>
      <w:r>
        <w:rPr>
          <w:rFonts w:hint="eastAsia"/>
          <w:b/>
          <w:bCs/>
        </w:rPr>
        <w:t>特色小镇培育目标。</w:t>
      </w:r>
    </w:p>
    <w:p>
      <w:pPr>
        <w:ind w:firstLine="560"/>
      </w:pPr>
      <w:r>
        <w:rPr>
          <w:rFonts w:hint="eastAsia"/>
        </w:rPr>
        <w:t>在综合分析资源禀赋、产业基础、交通区位、发展潜力等因素的基础上，按照“以产兴镇、以镇兴业、城镇融合”发展思路，聚焦农产品精深加工、文化旅游等领域，加快培育一批主导产业特色鲜明的小城镇，发挥示范带动作用，推动形成类型多样、充满活力、富有魅力的全县小城镇发展新格局。分类引导特色小镇发展，错位发展先进制造类特色小镇，商贸、文化旅游、森林、体育、康养等现代服务类特色小镇，以及农业田园类特色小镇。突出培育滩头、虎形山文旅小镇，司门前康养小镇，金石桥、高平工贸小镇，六都寨、横板桥、荷香桥、周旺商贸小镇等特色小镇，打造小沙江金银花特色小镇，力争创建国家级特色产业强镇1个、省级特色产业强镇2个。</w:t>
      </w:r>
    </w:p>
    <w:p>
      <w:pPr>
        <w:ind w:firstLine="562"/>
        <w:rPr>
          <w:b/>
          <w:bCs/>
        </w:rPr>
      </w:pPr>
      <w:r>
        <w:rPr>
          <w:rFonts w:hint="eastAsia"/>
          <w:b/>
          <w:bCs/>
        </w:rPr>
        <w:t>乡镇发展目标。</w:t>
      </w:r>
    </w:p>
    <w:p>
      <w:pPr>
        <w:ind w:firstLine="560"/>
      </w:pPr>
      <w:r>
        <w:rPr>
          <w:rFonts w:hint="eastAsia"/>
        </w:rPr>
        <w:t>根据隆回县的生态条件、资源状况件和自然禀赋，按照隆回县发展战略，对南北实施差异化发展战略。突出北部生态保护，建设北部生态经济圈，根据生态承载能力，突出打造良好生态环境，培育长期稳定可持续发展的生态经济；突出南部现代产业建设，从新型工业化、现代服务业、现代农业入手，建设南部现代产业经济圈。</w:t>
      </w:r>
      <w:r>
        <w:rPr>
          <w:rFonts w:hint="eastAsia"/>
          <w:b/>
          <w:bCs/>
        </w:rPr>
        <w:t>北部发展生态旅游：</w:t>
      </w:r>
      <w:r>
        <w:rPr>
          <w:rFonts w:hint="eastAsia"/>
        </w:rPr>
        <w:t>以虎形山花瑶国家风景名胜区为龙头，整合魏源湖国家湿地公园、白马山省级森林公园、望云山省级森林公园、大东山森林公园、屏风界国际候鸟保护站、魏源故居、魏午庄故居、谭人凤故居、邹汉勋故居、荷田溶洞、高州温泉、司门前魏源温泉、贺龙鸭田战斗指挥所、云雾山庄、罗洪贞节牌坊等一系列的自然人文景观景点，配套基础设施，优化景点线路，推进生态旅游向纵深发展。</w:t>
      </w:r>
      <w:r>
        <w:rPr>
          <w:rFonts w:hint="eastAsia"/>
          <w:b/>
          <w:bCs/>
        </w:rPr>
        <w:t>南部发展现代产业：</w:t>
      </w:r>
      <w:r>
        <w:rPr>
          <w:rFonts w:hint="eastAsia"/>
        </w:rPr>
        <w:t>在工业方面突出风电新能源、生物医药、电子信息、建材、特种纸业、制鞋、家具制造，培育骨干支柱产业；突出现代物流，建立现代物流产业基地，推进城乡物流网络融合发展；推进商业餐饮酒店行业现代化升级改造，突出地方特色，吸纳更多就业；推进信息产业改造，建设湘西南信息港，服务现代工业和新型农业化；培育新型产业，加快规范快递物流、服务咨询、智能制造、数字经济等产业的发展力度。</w:t>
      </w:r>
      <w:r>
        <w:rPr>
          <w:rFonts w:hint="eastAsia"/>
          <w:b/>
          <w:bCs/>
        </w:rPr>
        <w:t>注重区域规划布局：</w:t>
      </w:r>
      <w:r>
        <w:rPr>
          <w:rFonts w:hint="eastAsia"/>
        </w:rPr>
        <w:t>“一核一副两特色、八个重点十培育”的城镇发展格局。“一核”：即县城，按照40平方公里、40万人口进行规划建设，以桃花坪街道、花门街道为中心，带动北山镇、三阁司镇等县城周边城镇联动发展，打造全县政治、经济、教育、文化核心；“一副”：即北部金石桥镇县域副中心，按照4平方公里、4万人口的规模进行规划建设，打造成为娄邵怀地区物流集散中心和旅游承载中心；“两特色”：即将虎形山瑶族乡、山界回族乡打造成突出民俗特质的旅游服务型特色乡镇；“八个重点”：即打造六都寨、小沙江、司门前、高平、横板桥、荷香桥、滩头、周旺等八个重点乡镇；“十培育”：即将羊古坳、大水田、麻塘山、鸭田、南岳庙、岩口、七江、西洋江、罗洪、荷田等乡镇培育成产业特色明显、潜质深厚的魅力乡（镇）。</w:t>
      </w:r>
    </w:p>
    <w:p>
      <w:pPr>
        <w:pStyle w:val="6"/>
        <w:ind w:firstLine="643"/>
        <w:rPr>
          <w:rFonts w:ascii="仿宋" w:hAnsi="仿宋" w:cs="仿宋"/>
          <w:sz w:val="32"/>
        </w:rPr>
      </w:pPr>
      <w:r>
        <w:rPr>
          <w:rFonts w:hint="eastAsia" w:ascii="仿宋" w:hAnsi="仿宋" w:cs="仿宋"/>
          <w:sz w:val="32"/>
        </w:rPr>
        <w:t>6</w:t>
      </w:r>
      <w:r>
        <w:rPr>
          <w:rFonts w:ascii="仿宋" w:hAnsi="仿宋" w:cs="仿宋"/>
          <w:sz w:val="32"/>
        </w:rPr>
        <w:t>.1</w:t>
      </w:r>
      <w:r>
        <w:rPr>
          <w:rFonts w:hint="eastAsia" w:ascii="仿宋" w:hAnsi="仿宋" w:cs="仿宋"/>
          <w:sz w:val="32"/>
        </w:rPr>
        <w:t>5</w:t>
      </w:r>
      <w:r>
        <w:rPr>
          <w:rFonts w:ascii="仿宋" w:hAnsi="仿宋" w:cs="仿宋"/>
          <w:sz w:val="32"/>
        </w:rPr>
        <w:t xml:space="preserve">.2 </w:t>
      </w:r>
      <w:r>
        <w:rPr>
          <w:rFonts w:hint="eastAsia" w:ascii="仿宋" w:hAnsi="仿宋" w:cs="仿宋"/>
          <w:sz w:val="32"/>
        </w:rPr>
        <w:t>主要任务</w:t>
      </w:r>
    </w:p>
    <w:bookmarkEnd w:id="200"/>
    <w:bookmarkEnd w:id="201"/>
    <w:bookmarkEnd w:id="202"/>
    <w:bookmarkEnd w:id="214"/>
    <w:p>
      <w:pPr>
        <w:pStyle w:val="6"/>
        <w:ind w:firstLine="562"/>
        <w:rPr>
          <w:rFonts w:ascii="仿宋" w:hAnsi="仿宋" w:cs="仿宋"/>
          <w:sz w:val="32"/>
        </w:rPr>
      </w:pPr>
      <w:bookmarkStart w:id="215" w:name="_Toc29906"/>
      <w:bookmarkStart w:id="216" w:name="_Toc15987"/>
      <w:bookmarkStart w:id="217" w:name="_Toc8835"/>
      <w:r>
        <w:rPr>
          <w:rFonts w:hint="eastAsia"/>
        </w:rPr>
        <w:t>——提升城镇综合承载能力</w:t>
      </w:r>
      <w:bookmarkEnd w:id="215"/>
      <w:bookmarkEnd w:id="216"/>
      <w:bookmarkEnd w:id="217"/>
    </w:p>
    <w:p>
      <w:pPr>
        <w:ind w:firstLine="560"/>
      </w:pPr>
      <w:bookmarkStart w:id="218" w:name="_Toc25014"/>
      <w:r>
        <w:rPr>
          <w:rFonts w:hint="eastAsia"/>
        </w:rPr>
        <w:t>遵循适度超前、综合配套、集约利用的原则，加强特色小城镇道路、供水、供电、通讯、污水处理、垃圾治理、物流、农贸市场等基础设施建设，全力做好基础设施配套，鼓励综合开发，形成集交通、商业、休闲等为一体的开放式功能区，提升特色小城镇承载力和吸引力。聚焦居民日常需求，完善教育、医疗、商业服务、养老服务和各类文化体育设施，提升镇区服务功能，加快构建便捷“生活圈”、完善“服务圈”和繁荣“商业圈”，着力提升公共水平。</w:t>
      </w:r>
      <w:bookmarkEnd w:id="218"/>
    </w:p>
    <w:p>
      <w:pPr>
        <w:pStyle w:val="6"/>
        <w:ind w:firstLine="562"/>
        <w:rPr>
          <w:rFonts w:ascii="仿宋" w:hAnsi="仿宋" w:cs="仿宋"/>
          <w:sz w:val="32"/>
        </w:rPr>
      </w:pPr>
      <w:bookmarkStart w:id="219" w:name="_Toc6924"/>
      <w:bookmarkStart w:id="220" w:name="_Toc7"/>
      <w:bookmarkStart w:id="221" w:name="_Toc1620"/>
      <w:r>
        <w:rPr>
          <w:rFonts w:hint="eastAsia"/>
        </w:rPr>
        <w:t>——推动城乡要素合理流动</w:t>
      </w:r>
      <w:bookmarkEnd w:id="219"/>
      <w:bookmarkEnd w:id="220"/>
      <w:bookmarkEnd w:id="221"/>
    </w:p>
    <w:p>
      <w:pPr>
        <w:ind w:firstLine="560"/>
      </w:pPr>
      <w:r>
        <w:rPr>
          <w:rFonts w:hint="eastAsia"/>
        </w:rPr>
        <w:t>以深化改革户籍制度和基本公共服务提供机制为路径，打破阻碍劳动力自由流动的不合理壁垒，促进人力资源优化配置，提高农业转移人口市民化质量。鼓励农村集体经济组织探索人才引进机制，吸引人才、留住人才。健全土地流转规范管理制度，强化规模经营管理服务，允许土地经营权入股从事农业产业化经营。加快完成农村集体建设用地使用权确权登记颁证，允许农村集体经营性建设用地入市。建立社会资本入乡促进机制，引导社会资本为城乡融合发展提供资金、产业、技术等支持。</w:t>
      </w:r>
    </w:p>
    <w:p>
      <w:pPr>
        <w:pStyle w:val="6"/>
        <w:ind w:firstLine="562"/>
      </w:pPr>
      <w:r>
        <w:rPr>
          <w:rFonts w:hint="eastAsia"/>
        </w:rPr>
        <w:t>——分类培育特色小镇</w:t>
      </w:r>
    </w:p>
    <w:p>
      <w:pPr>
        <w:ind w:firstLine="560"/>
      </w:pPr>
      <w:r>
        <w:rPr>
          <w:rFonts w:hint="eastAsia"/>
        </w:rPr>
        <w:t>提高特色小城镇的城镇化发展水平，强化辐射带动能力，促进周边乡镇和农村居民点人口集聚，为完善城镇体系提供多点支撑，形成城乡统筹、协调发展、集约高效的发展格局。聚焦行业细分门类，科学定位特色小镇主导产业，提高主导产业质量效益，切实增强产业核心竞争力。着眼小城镇主导产业发展所需，健全公共性、平台性产业配套设施，惠及更多市场主体。推进特色小城镇多元功能聚合，叠加文化功能、旅游功能，打造彰显地域特征的特色建筑，打造宜业宜居宜游的新型空间。</w:t>
      </w:r>
    </w:p>
    <w:tbl>
      <w:tblPr>
        <w:tblStyle w:val="23"/>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4BACC6" w:sz="8" w:space="0"/>
              <w:left w:val="single" w:color="4BACC6" w:sz="8" w:space="0"/>
              <w:bottom w:val="single" w:color="FFFFFF" w:sz="18" w:space="0"/>
              <w:right w:val="single" w:color="4BACC6" w:sz="8" w:space="0"/>
            </w:tcBorders>
            <w:shd w:val="clear" w:color="auto" w:fill="4BACC6"/>
            <w:vAlign w:val="center"/>
          </w:tcPr>
          <w:p>
            <w:pPr>
              <w:pStyle w:val="34"/>
              <w:spacing w:line="400" w:lineRule="exact"/>
              <w:ind w:firstLine="2168" w:firstLineChars="900"/>
              <w:outlineLvl w:val="3"/>
              <w:rPr>
                <w:rFonts w:eastAsia="楷体"/>
                <w:b/>
                <w:bCs/>
                <w:color w:val="FFFFFF"/>
                <w:kern w:val="0"/>
                <w:sz w:val="24"/>
              </w:rPr>
            </w:pPr>
            <w:r>
              <w:rPr>
                <w:rFonts w:hint="eastAsia" w:eastAsia="楷体"/>
                <w:b/>
                <w:bCs/>
                <w:color w:val="FFFFFF"/>
                <w:kern w:val="0"/>
                <w:sz w:val="24"/>
              </w:rPr>
              <w:t>专栏8 隆回县特色小镇培育</w:t>
            </w:r>
          </w:p>
        </w:tc>
      </w:tr>
      <w:tr>
        <w:tblPrEx>
          <w:tblCellMar>
            <w:top w:w="0" w:type="dxa"/>
            <w:left w:w="108" w:type="dxa"/>
            <w:bottom w:w="0" w:type="dxa"/>
            <w:right w:w="108" w:type="dxa"/>
          </w:tblCellMar>
        </w:tblPrEx>
        <w:trPr>
          <w:trHeight w:val="1788" w:hRule="atLeast"/>
          <w:jc w:val="center"/>
        </w:trPr>
        <w:tc>
          <w:tcPr>
            <w:tcW w:w="8778" w:type="dxa"/>
            <w:tcBorders>
              <w:top w:val="single" w:color="FFFFFF" w:sz="18" w:space="0"/>
              <w:left w:val="single" w:color="4BACC6" w:sz="8" w:space="0"/>
              <w:bottom w:val="single" w:color="4BACC6" w:sz="8" w:space="0"/>
              <w:right w:val="single" w:color="4BACC6" w:sz="8" w:space="0"/>
            </w:tcBorders>
            <w:shd w:val="clear" w:color="auto" w:fill="B7DDE8"/>
            <w:vAlign w:val="center"/>
          </w:tcPr>
          <w:p>
            <w:pPr>
              <w:snapToGrid w:val="0"/>
              <w:spacing w:line="360" w:lineRule="exact"/>
              <w:ind w:firstLine="442"/>
              <w:jc w:val="left"/>
              <w:rPr>
                <w:sz w:val="22"/>
                <w:szCs w:val="21"/>
              </w:rPr>
            </w:pPr>
            <w:r>
              <w:rPr>
                <w:rFonts w:hint="eastAsia"/>
                <w:b/>
                <w:bCs/>
                <w:sz w:val="22"/>
                <w:szCs w:val="21"/>
              </w:rPr>
              <w:t>金银花中药材特色小镇-小沙江</w:t>
            </w:r>
            <w:r>
              <w:rPr>
                <w:rFonts w:hint="eastAsia"/>
                <w:sz w:val="22"/>
                <w:szCs w:val="21"/>
              </w:rPr>
              <w:t xml:space="preserve"> 隆回县是国家林业局命名是“中国金银花之乡”，年产干花1.2万吨，占全国总产量的52%，年产值50亿以上，产品远销欧美和东南亚，参与金银花产业的从业人员达到2.5万人，独特的土壤、气候和品种，成为无可替代、无可复制的独特产业，建设金银花特色产业小镇，成为全国唯一的以金银花命名的特色小镇</w:t>
            </w:r>
            <w:r>
              <w:rPr>
                <w:sz w:val="22"/>
                <w:szCs w:val="21"/>
              </w:rPr>
              <w:t>。</w:t>
            </w:r>
          </w:p>
          <w:p>
            <w:pPr>
              <w:snapToGrid w:val="0"/>
              <w:spacing w:line="360" w:lineRule="exact"/>
              <w:ind w:firstLine="442"/>
              <w:jc w:val="left"/>
              <w:rPr>
                <w:sz w:val="24"/>
                <w:szCs w:val="22"/>
              </w:rPr>
            </w:pPr>
            <w:r>
              <w:rPr>
                <w:rFonts w:hint="eastAsia"/>
                <w:b/>
                <w:bCs/>
                <w:sz w:val="22"/>
                <w:szCs w:val="21"/>
              </w:rPr>
              <w:t>中国黄金小镇-六都寨</w:t>
            </w:r>
            <w:r>
              <w:rPr>
                <w:sz w:val="22"/>
                <w:szCs w:val="21"/>
              </w:rPr>
              <w:t>。</w:t>
            </w:r>
            <w:r>
              <w:rPr>
                <w:rFonts w:hint="eastAsia"/>
                <w:sz w:val="22"/>
                <w:szCs w:val="21"/>
              </w:rPr>
              <w:t>外界流传“哪里有市场那里就有邵东人，那里有黄金那里就有隆回人”，自明末清初开始，隆回六都寨人就独创了手工淘金、炼金、加工的全链条工艺，全国有金矿的地方就有六都寨人的身影，每年开采黄金3吨以上，高峰期年产10余吨，价值数十亿元，六都寨人独创和发明了沙金淘采工艺、岩金精选工艺，得到中南大学、昆明理工大学等国内知名大学采矿专家的认可和研究，形成了人数庞大、产值较高、工艺先进、影响力较大、知名度较高的黄金开采地域名片，打造中国黄金小镇，对于黄金开采、精选、加工、交易有利于形成独特产业，有利于民间工艺传承，有利于地方经济拉动</w:t>
            </w:r>
            <w:r>
              <w:rPr>
                <w:sz w:val="22"/>
                <w:szCs w:val="21"/>
              </w:rPr>
              <w:t>。</w:t>
            </w:r>
          </w:p>
          <w:p>
            <w:pPr>
              <w:snapToGrid w:val="0"/>
              <w:spacing w:line="360" w:lineRule="exact"/>
              <w:ind w:firstLine="442"/>
              <w:rPr>
                <w:sz w:val="22"/>
                <w:szCs w:val="21"/>
              </w:rPr>
            </w:pPr>
            <w:r>
              <w:rPr>
                <w:rFonts w:hint="eastAsia"/>
                <w:b/>
                <w:bCs/>
                <w:sz w:val="22"/>
                <w:szCs w:val="21"/>
              </w:rPr>
              <w:t>风电新能源景观小镇-麻塘山</w:t>
            </w:r>
            <w:r>
              <w:rPr>
                <w:b/>
                <w:bCs/>
                <w:sz w:val="22"/>
                <w:szCs w:val="21"/>
              </w:rPr>
              <w:t>。</w:t>
            </w:r>
            <w:r>
              <w:rPr>
                <w:rFonts w:hint="eastAsia"/>
                <w:sz w:val="22"/>
                <w:szCs w:val="21"/>
              </w:rPr>
              <w:t>麻塘山地处雪峰山余脉，近年来开发建成了中国电建白马山风电场、中国国电磨子坪风电场、联运麻塘山风电场、三一金坪风电场等重大新能源项目，总装机容量达到40万KW，形成了一道亮丽的高山风电景观，吸引本县和周边县区的游客络绎不绝，感受现代工业和新能源景观，为少年儿童扩展知识点开拓了科普场地</w:t>
            </w:r>
            <w:r>
              <w:rPr>
                <w:sz w:val="22"/>
                <w:szCs w:val="21"/>
              </w:rPr>
              <w:t>。</w:t>
            </w:r>
          </w:p>
          <w:p>
            <w:pPr>
              <w:snapToGrid w:val="0"/>
              <w:spacing w:line="360" w:lineRule="exact"/>
              <w:ind w:firstLine="442"/>
              <w:rPr>
                <w:sz w:val="22"/>
                <w:szCs w:val="21"/>
              </w:rPr>
            </w:pPr>
            <w:r>
              <w:rPr>
                <w:rFonts w:hint="eastAsia"/>
                <w:b/>
                <w:bCs/>
                <w:sz w:val="22"/>
                <w:szCs w:val="21"/>
              </w:rPr>
              <w:t>生态温泉康养小镇-金石桥。</w:t>
            </w:r>
            <w:r>
              <w:rPr>
                <w:rFonts w:hint="eastAsia"/>
                <w:sz w:val="22"/>
                <w:szCs w:val="21"/>
              </w:rPr>
              <w:t>金石桥高州温泉是天然偏硅酸温泉，温泉水来自4000米深的地壳裂缝，出水温度49.5度，经鉴定属于内地珍贵地矿温泉，适合健身、理疗、康养，每年都有上万港澳游客慕名前来，打造温泉康养小镇，对于利用自然资源、推进康养旅游、拉动地方经济、实现乡村振兴具有重大意义。</w:t>
            </w:r>
          </w:p>
          <w:p>
            <w:pPr>
              <w:snapToGrid w:val="0"/>
              <w:spacing w:line="360" w:lineRule="exact"/>
              <w:ind w:firstLine="442"/>
              <w:rPr>
                <w:sz w:val="22"/>
                <w:szCs w:val="21"/>
              </w:rPr>
            </w:pPr>
            <w:r>
              <w:rPr>
                <w:rFonts w:hint="eastAsia"/>
                <w:b/>
                <w:bCs/>
                <w:sz w:val="22"/>
                <w:szCs w:val="21"/>
              </w:rPr>
              <w:t>花瑶文旅小镇-虎形山。</w:t>
            </w:r>
            <w:r>
              <w:rPr>
                <w:rFonts w:hint="eastAsia"/>
                <w:sz w:val="22"/>
                <w:szCs w:val="21"/>
              </w:rPr>
              <w:t>位于隆回北部的崇山峻岭之中，那是一片安宁、遥远的净土，有着南方罕见的高原自然风光和人类原始的透明而清澈的生活。隆回瑶族属“过山瑶”，至今仅六千余众，是拥有数百万人口的瑶族大家庭中的一个小小的分支。与瑶族其他分支不同是的，他们不知道瑶家鼻祖“盘王”，亦不知何为“盘王节”。他们世世代代封闭在赖以生存的特殊山寨里，忠实地承袭着先祖最为古朴纯真的民俗与民风。或许是因寨子里的女人们个个着装艳丽，上下色彩火辣，俨如束束耀眼的山花闪动在绿意葱茏的山野。于是，人们便誉其为“</w:t>
            </w:r>
            <w:r>
              <w:fldChar w:fldCharType="begin"/>
            </w:r>
            <w:r>
              <w:instrText xml:space="preserve"> HYPERLINK "https://baike.baidu.com/item/%E8%8A%B1%E7%91%B6" \t "https://baike.baidu.com/item/%E8%99%8E%E5%BD%A2%E5%B1%B1%E7%91%B6%E6%97%8F%E4%B9%A1/_blank" </w:instrText>
            </w:r>
            <w:r>
              <w:fldChar w:fldCharType="separate"/>
            </w:r>
            <w:r>
              <w:rPr>
                <w:sz w:val="22"/>
                <w:szCs w:val="21"/>
              </w:rPr>
              <w:t>花瑶</w:t>
            </w:r>
            <w:r>
              <w:rPr>
                <w:sz w:val="22"/>
                <w:szCs w:val="21"/>
              </w:rPr>
              <w:fldChar w:fldCharType="end"/>
            </w:r>
            <w:r>
              <w:rPr>
                <w:sz w:val="22"/>
                <w:szCs w:val="21"/>
              </w:rPr>
              <w:t>”。虎形山</w:t>
            </w:r>
            <w:r>
              <w:fldChar w:fldCharType="begin"/>
            </w:r>
            <w:r>
              <w:instrText xml:space="preserve"> HYPERLINK "https://baike.baidu.com/item/%E7%91%B6%E6%97%8F" \t "https://baike.baidu.com/item/%E8%99%8E%E5%BD%A2%E5%B1%B1%E7%91%B6%E6%97%8F%E4%B9%A1/_blank" </w:instrText>
            </w:r>
            <w:r>
              <w:fldChar w:fldCharType="separate"/>
            </w:r>
            <w:r>
              <w:rPr>
                <w:sz w:val="22"/>
                <w:szCs w:val="21"/>
              </w:rPr>
              <w:t>瑶族</w:t>
            </w:r>
            <w:r>
              <w:rPr>
                <w:sz w:val="22"/>
                <w:szCs w:val="21"/>
              </w:rPr>
              <w:fldChar w:fldCharType="end"/>
            </w:r>
            <w:r>
              <w:rPr>
                <w:sz w:val="22"/>
                <w:szCs w:val="21"/>
              </w:rPr>
              <w:t>乡是“全国百佳艺术之乡”、“</w:t>
            </w:r>
            <w:r>
              <w:fldChar w:fldCharType="begin"/>
            </w:r>
            <w:r>
              <w:instrText xml:space="preserve"> HYPERLINK "https://baike.baidu.com/item/%E6%B9%96%E5%8D%97%E7%9C%81" \t "https://baike.baidu.com/item/%E8%99%8E%E5%BD%A2%E5%B1%B1%E7%91%B6%E6%97%8F%E4%B9%A1/_blank" </w:instrText>
            </w:r>
            <w:r>
              <w:fldChar w:fldCharType="separate"/>
            </w:r>
            <w:r>
              <w:rPr>
                <w:sz w:val="22"/>
                <w:szCs w:val="21"/>
              </w:rPr>
              <w:t>湖南省</w:t>
            </w:r>
            <w:r>
              <w:rPr>
                <w:sz w:val="22"/>
                <w:szCs w:val="21"/>
              </w:rPr>
              <w:fldChar w:fldCharType="end"/>
            </w:r>
            <w:r>
              <w:rPr>
                <w:sz w:val="22"/>
                <w:szCs w:val="21"/>
              </w:rPr>
              <w:t>重点风景名胜区”。“花瑶古寨风情”是</w:t>
            </w:r>
            <w:r>
              <w:fldChar w:fldCharType="begin"/>
            </w:r>
            <w:r>
              <w:instrText xml:space="preserve"> HYPERLINK "https://baike.baidu.com/item/%E6%B9%96%E5%8D%97%E7%9C%81" \t "https://baike.baidu.com/item/%E8%99%8E%E5%BD%A2%E5%B1%B1%E7%91%B6%E6%97%8F%E4%B9%A1/_blank" </w:instrText>
            </w:r>
            <w:r>
              <w:fldChar w:fldCharType="separate"/>
            </w:r>
            <w:r>
              <w:rPr>
                <w:sz w:val="22"/>
                <w:szCs w:val="21"/>
              </w:rPr>
              <w:t>湖南省</w:t>
            </w:r>
            <w:r>
              <w:rPr>
                <w:sz w:val="22"/>
                <w:szCs w:val="21"/>
              </w:rPr>
              <w:fldChar w:fldCharType="end"/>
            </w:r>
            <w:r>
              <w:rPr>
                <w:sz w:val="22"/>
                <w:szCs w:val="21"/>
              </w:rPr>
              <w:t>新潇湘八景之一。境内森林、矿藏、动植物资源十分丰富，特别是生态旅游资源独具特色。瑶山大峡谷千峰竞秀、林海浩瀚、四季如画，是观光览胜、避暑度假、休闲健身、漂流探险、滑雪狩猎，融入大自然、回归</w:t>
            </w:r>
            <w:r>
              <w:fldChar w:fldCharType="begin"/>
            </w:r>
            <w:r>
              <w:instrText xml:space="preserve"> HYPERLINK "https://baike.baidu.com/item/%E5%A4%A7%E8%87%AA%E7%84%B6" \t "https://baike.baidu.com/item/%E8%99%8E%E5%BD%A2%E5%B1%B1%E7%91%B6%E6%97%8F%E4%B9%A1/_blank" </w:instrText>
            </w:r>
            <w:r>
              <w:fldChar w:fldCharType="separate"/>
            </w:r>
            <w:r>
              <w:rPr>
                <w:sz w:val="22"/>
                <w:szCs w:val="21"/>
              </w:rPr>
              <w:t>大自然</w:t>
            </w:r>
            <w:r>
              <w:rPr>
                <w:sz w:val="22"/>
                <w:szCs w:val="21"/>
              </w:rPr>
              <w:fldChar w:fldCharType="end"/>
            </w:r>
            <w:r>
              <w:rPr>
                <w:sz w:val="22"/>
                <w:szCs w:val="21"/>
              </w:rPr>
              <w:t>的理想胜地。</w:t>
            </w:r>
            <w:r>
              <w:rPr>
                <w:rFonts w:hint="eastAsia"/>
                <w:sz w:val="22"/>
                <w:szCs w:val="21"/>
              </w:rPr>
              <w:t>打造花瑶文旅小镇，对于促进旅游发展、巩固脱贫成果具有积极的现实意义。</w:t>
            </w:r>
          </w:p>
          <w:p>
            <w:pPr>
              <w:snapToGrid w:val="0"/>
              <w:spacing w:line="360" w:lineRule="exact"/>
              <w:ind w:firstLine="442"/>
              <w:rPr>
                <w:sz w:val="22"/>
                <w:szCs w:val="21"/>
              </w:rPr>
            </w:pPr>
            <w:r>
              <w:rPr>
                <w:rFonts w:hint="eastAsia"/>
                <w:b/>
                <w:bCs/>
                <w:sz w:val="22"/>
                <w:szCs w:val="21"/>
              </w:rPr>
              <w:t>工贸小镇-高平。</w:t>
            </w:r>
            <w:r>
              <w:rPr>
                <w:rFonts w:hint="eastAsia"/>
                <w:sz w:val="22"/>
                <w:szCs w:val="21"/>
              </w:rPr>
              <w:t>高平的皮鞋、竹席、箱包加工在国内很有影响力，形成了规模化生产，有悠久的历史积淀和很好的的产业基础，培育工贸小镇对于传承传统手工艺、振兴乡村经济意义重大。</w:t>
            </w:r>
          </w:p>
          <w:p>
            <w:pPr>
              <w:snapToGrid w:val="0"/>
              <w:spacing w:line="360" w:lineRule="exact"/>
              <w:ind w:firstLine="442"/>
              <w:rPr>
                <w:sz w:val="22"/>
                <w:szCs w:val="21"/>
              </w:rPr>
            </w:pPr>
            <w:r>
              <w:rPr>
                <w:rFonts w:hint="eastAsia"/>
                <w:b/>
                <w:bCs/>
                <w:sz w:val="22"/>
                <w:szCs w:val="21"/>
              </w:rPr>
              <w:t>传统年画文旅小镇-滩头。</w:t>
            </w:r>
            <w:r>
              <w:rPr>
                <w:rFonts w:hint="eastAsia"/>
                <w:sz w:val="22"/>
                <w:szCs w:val="21"/>
              </w:rPr>
              <w:t>滩头年画是湖南唯一传统木板手工印年画，是中国“四大年画”之一，产地在邵阳隆回滩头镇，滩头镇被国家文化部命名为“现代民间年画之乡”。</w:t>
            </w:r>
          </w:p>
          <w:p>
            <w:pPr>
              <w:snapToGrid w:val="0"/>
              <w:spacing w:line="360" w:lineRule="exact"/>
              <w:ind w:firstLine="442"/>
              <w:rPr>
                <w:sz w:val="22"/>
                <w:szCs w:val="21"/>
              </w:rPr>
            </w:pPr>
            <w:r>
              <w:rPr>
                <w:rFonts w:hint="eastAsia"/>
                <w:b/>
                <w:bCs/>
                <w:sz w:val="22"/>
                <w:szCs w:val="21"/>
              </w:rPr>
              <w:t>柿子红果香小镇-荷香桥。</w:t>
            </w:r>
            <w:r>
              <w:rPr>
                <w:rFonts w:hint="eastAsia"/>
                <w:sz w:val="22"/>
                <w:szCs w:val="21"/>
              </w:rPr>
              <w:t>腰带柿是隆回县唯一的地域名片水果，具备果型美观、营养丰富、投入少、结果期长、适应性广等优点，被评为全国柿子第三名，中国南方柿子第一名，在隆回发展历史上产量居地方水果第一。全县乡村尚有百年老树5000棵以上，具备历史文化沉淀和群众发展基础，荷香桥是腰带柿生产的集中地，建设果香小镇，对于乡村特色产业振兴意义重大。</w:t>
            </w:r>
          </w:p>
          <w:p>
            <w:pPr>
              <w:snapToGrid w:val="0"/>
              <w:spacing w:line="360" w:lineRule="exact"/>
              <w:ind w:firstLine="442"/>
              <w:rPr>
                <w:sz w:val="22"/>
                <w:szCs w:val="21"/>
              </w:rPr>
            </w:pPr>
            <w:r>
              <w:rPr>
                <w:rFonts w:hint="eastAsia"/>
                <w:b/>
                <w:bCs/>
                <w:sz w:val="22"/>
                <w:szCs w:val="21"/>
              </w:rPr>
              <w:t>龙牙百合小镇-北山。</w:t>
            </w:r>
            <w:r>
              <w:rPr>
                <w:rFonts w:hint="eastAsia"/>
                <w:sz w:val="22"/>
                <w:szCs w:val="21"/>
              </w:rPr>
              <w:t>隆回县是“中国龙牙百合之乡”，历年来龙牙百合产品畅销东南亚，北山镇是龙牙百合的原产地，具备地理标志，参与生产加工的企业、合作社、农户较多，年产值超过10亿元。</w:t>
            </w:r>
          </w:p>
          <w:p>
            <w:pPr>
              <w:snapToGrid w:val="0"/>
              <w:spacing w:line="360" w:lineRule="exact"/>
              <w:ind w:firstLine="442"/>
              <w:rPr>
                <w:sz w:val="24"/>
                <w:szCs w:val="22"/>
              </w:rPr>
            </w:pPr>
            <w:r>
              <w:rPr>
                <w:rFonts w:hint="eastAsia"/>
                <w:b/>
                <w:bCs/>
                <w:sz w:val="22"/>
                <w:szCs w:val="21"/>
              </w:rPr>
              <w:t>“三辣”特色小镇-山界。</w:t>
            </w:r>
            <w:r>
              <w:rPr>
                <w:rFonts w:hint="eastAsia"/>
                <w:sz w:val="22"/>
                <w:szCs w:val="21"/>
              </w:rPr>
              <w:t>隆回是“中国三辣之乡”，隆回朝天辣椒、虎爪生姜、红皮大蒜集中产地在山界乡，群众参与度高，产业链条长，建设“三辣”特色小镇对于培育壮大隆回三辣产业有着长远的积极意义。</w:t>
            </w:r>
          </w:p>
        </w:tc>
      </w:tr>
    </w:tbl>
    <w:p>
      <w:pPr>
        <w:pStyle w:val="6"/>
        <w:ind w:firstLine="562"/>
      </w:pPr>
      <w:r>
        <w:rPr>
          <w:rFonts w:hint="eastAsia"/>
        </w:rPr>
        <w:t>6</w:t>
      </w:r>
      <w:r>
        <w:t xml:space="preserve">.15.3 </w:t>
      </w:r>
      <w:r>
        <w:rPr>
          <w:rFonts w:hint="eastAsia"/>
        </w:rPr>
        <w:t>重点项目</w:t>
      </w:r>
    </w:p>
    <w:p>
      <w:pPr>
        <w:pStyle w:val="6"/>
        <w:ind w:firstLine="643"/>
        <w:rPr>
          <w:szCs w:val="24"/>
        </w:rPr>
      </w:pPr>
      <w:bookmarkStart w:id="222" w:name="_Toc25232"/>
      <w:bookmarkStart w:id="223" w:name="_Toc31126"/>
      <w:bookmarkStart w:id="224" w:name="_Toc1547"/>
      <w:r>
        <w:rPr>
          <w:rFonts w:hint="eastAsia" w:ascii="仿宋" w:hAnsi="仿宋" w:cs="仿宋"/>
          <w:sz w:val="32"/>
        </w:rPr>
        <w:t xml:space="preserve">—— </w:t>
      </w:r>
      <w:r>
        <w:rPr>
          <w:rFonts w:hint="eastAsia"/>
          <w:szCs w:val="24"/>
        </w:rPr>
        <w:t>推进城乡基础设施一体化发展</w:t>
      </w:r>
      <w:bookmarkEnd w:id="222"/>
      <w:bookmarkEnd w:id="223"/>
      <w:bookmarkEnd w:id="224"/>
    </w:p>
    <w:p>
      <w:pPr>
        <w:ind w:firstLine="560"/>
      </w:pPr>
      <w:r>
        <w:rPr>
          <w:rFonts w:hint="eastAsia"/>
        </w:rPr>
        <w:t>加快推动乡村基础设施提挡升级，实现城乡基础设施统一规划、统一建设、统一管护。加快推进以县城为重要载体的新型城镇化建设，促进县城和小城镇协调发展。加快推进城乡融合发展，推进实施城乡统筹的污水垃圾收集处理、城乡联结的物流网络、城乡农贸市场一体化改造、城乡道路客运一体化发展、城乡公共文化设施一体化布局、市政供水供气供热向城郊村延伸、乡村旅游路产业路等城乡联动建设项目，加快发展城乡教育联合体和县域医共体。</w:t>
      </w:r>
    </w:p>
    <w:p>
      <w:pPr>
        <w:pStyle w:val="6"/>
        <w:ind w:firstLine="562"/>
        <w:rPr>
          <w:szCs w:val="24"/>
        </w:rPr>
      </w:pPr>
      <w:bookmarkStart w:id="225" w:name="_Toc6648"/>
      <w:bookmarkStart w:id="226" w:name="_Toc14926"/>
      <w:bookmarkStart w:id="227" w:name="_Toc13730"/>
      <w:r>
        <w:rPr>
          <w:rFonts w:hint="eastAsia"/>
          <w:szCs w:val="24"/>
        </w:rPr>
        <w:t>——完善交通基础设施，建设空间立体运输网络</w:t>
      </w:r>
      <w:bookmarkEnd w:id="225"/>
      <w:bookmarkEnd w:id="226"/>
      <w:bookmarkEnd w:id="227"/>
    </w:p>
    <w:p>
      <w:pPr>
        <w:pStyle w:val="34"/>
        <w:spacing w:line="560" w:lineRule="exact"/>
        <w:ind w:firstLine="560"/>
      </w:pPr>
      <w:r>
        <w:rPr>
          <w:rFonts w:hint="eastAsia"/>
        </w:rPr>
        <w:t>积极对接呼北高速、邵阳至溆浦高速公路建设，加快高速公路互通建设，推动形成以呼北高速、沪昆高速、怀邵衡铁路等纵横交错的“一纵两横”对外高速公路（铁路）网。加快完成S243西洋江至南岳庙、S332高平至七江公路等干线公路建设，加强国防公路、旅游公路的建设，加快完成县域北部山区干线公路提质改造，全面升级“三纵三横三连”干线公路骨架网络。大力实施农村公路提质升级改造及安保工程，持续实施贫困地区“窄改宽”、通村组路建设、“村村通客车”等工程，加快解决大水田乡、司门前镇、鸭田镇、羊古坳镇等北部山区窄路出行交通难题。全面推进“四好农村路”建设，加快建立权责清晰、齐抓共管的农村公路管理养护体制机制，确保农村公路列养率达到100%。加快疏浚赧水航道，加强水运码头建设，建立水陆交通综合运输体系。对标武冈机场、邵东机场及邵阳通用机场，加快完成滩头沐仙湖通用机场、六都寨通用机场等前期论证工作，力争建成1-2个通用机场。积极争取和实施沪昆高铁金石桥高铁站建设工程，在金石桥镇预留站址建设二级中转站，纳入铁路网建设规划；积极争取张崀桂铁路过境隆回，打造隆回县湘西南铁路枢纽城市，形成东西南北快捷出入的铁路交通网络。重点实施城北高铁新城综合交通枢纽建设、乡镇交通综合交通枢纽建设等项目，建设客运站场、公交站场、停车场等，完成1个城区中枢纽站、10个乡镇中枢纽站建设。</w:t>
      </w:r>
    </w:p>
    <w:p>
      <w:pPr>
        <w:pStyle w:val="34"/>
        <w:spacing w:line="560" w:lineRule="exact"/>
        <w:ind w:firstLine="562"/>
        <w:outlineLvl w:val="2"/>
        <w:rPr>
          <w:b/>
          <w:bCs/>
        </w:rPr>
      </w:pPr>
      <w:bookmarkStart w:id="228" w:name="_Toc32205"/>
      <w:bookmarkStart w:id="229" w:name="_Toc2731"/>
      <w:bookmarkStart w:id="230" w:name="_Toc24067"/>
      <w:r>
        <w:rPr>
          <w:rFonts w:hint="eastAsia"/>
          <w:b/>
          <w:bCs/>
        </w:rPr>
        <w:t>——完善城乡公共交通</w:t>
      </w:r>
      <w:bookmarkEnd w:id="228"/>
      <w:bookmarkEnd w:id="229"/>
      <w:bookmarkEnd w:id="230"/>
    </w:p>
    <w:p>
      <w:pPr>
        <w:ind w:firstLine="560"/>
      </w:pPr>
      <w:r>
        <w:rPr>
          <w:rFonts w:hint="eastAsia"/>
        </w:rPr>
        <w:t>加强公交枢纽站、公交站点建设，推动公交向周旺、南岳庙、北山、荷香桥、三阁司等县城周边乡镇延伸。加强乡镇客运服务设施建设，强化客车班次的运营管理，推动城乡客运一体化发展。规划建设一批加油、加气、充电等配套设施，加快城东、城中及城西智能化立体停车场建设，提高住宅、商业等各类开发项目的停车配建指标。鼓励魏源公园、方大公园、虎形山景区等有条件路段开设自行车专用慢行道，打造人性化慢行系统。</w:t>
      </w:r>
    </w:p>
    <w:p>
      <w:pPr>
        <w:pStyle w:val="34"/>
        <w:spacing w:line="560" w:lineRule="exact"/>
        <w:ind w:firstLine="562"/>
        <w:outlineLvl w:val="2"/>
        <w:rPr>
          <w:b/>
          <w:bCs/>
        </w:rPr>
      </w:pPr>
      <w:bookmarkStart w:id="231" w:name="_Toc20719"/>
      <w:bookmarkStart w:id="232" w:name="_Toc22938"/>
      <w:bookmarkStart w:id="233" w:name="_Toc2673"/>
      <w:r>
        <w:rPr>
          <w:rFonts w:hint="eastAsia"/>
          <w:b/>
          <w:bCs/>
        </w:rPr>
        <w:t>——加快智慧交通系统建设</w:t>
      </w:r>
      <w:bookmarkEnd w:id="231"/>
      <w:bookmarkEnd w:id="232"/>
      <w:bookmarkEnd w:id="233"/>
    </w:p>
    <w:p>
      <w:pPr>
        <w:ind w:firstLine="560"/>
        <w:rPr>
          <w:b/>
          <w:bCs/>
        </w:rPr>
      </w:pPr>
      <w:r>
        <w:rPr>
          <w:rFonts w:hint="eastAsia"/>
        </w:rPr>
        <w:t>基于智慧隆回建设基础上，充分考虑新一代新兴技术的发展与标准要求，采用云计算、大数据、物联网、融合通信等先进技术，以信息网络为基础，构建标准、智慧、统一的城市综合交通信息系统。推动停靠站提质改造、县城区综合停车场、县域充电桩建设、治超信息平台和不停车检测系统建设等智慧交通建设项目，建立智能交通管理信息。以信息网络为基础，聚焦智慧隆回建设，大力实施停靠站提质改造、县城区综合停车场建设、治超信息平台和不停车检测系统建设、充电桩建设等项目，构建智能交通管理信息中心，规划建设一批服务站、加油站、加气站、充电桩等综合服务设施，完成充电站150座，直、交流充电桩15000个，2500ＫＶ变压器150个，完成城东、城中、城西4处智慧立体停车场建设，推进智慧交通全县覆盖。</w:t>
      </w:r>
      <w:r>
        <w:rPr>
          <w:rFonts w:hint="eastAsia" w:ascii="仿宋" w:hAnsi="仿宋" w:cs="仿宋"/>
          <w:szCs w:val="32"/>
        </w:rPr>
        <w:t>　　</w:t>
      </w:r>
    </w:p>
    <w:p>
      <w:pPr>
        <w:pStyle w:val="5"/>
        <w:ind w:firstLine="643"/>
      </w:pPr>
      <w:bookmarkStart w:id="234" w:name="_Toc14882"/>
      <w:r>
        <w:rPr>
          <w:rFonts w:hint="eastAsia"/>
        </w:rPr>
        <w:t>第十六节 加快景区</w:t>
      </w:r>
      <w:r>
        <w:rPr>
          <w:rFonts w:hint="eastAsia"/>
          <w:lang w:eastAsia="zh-CN"/>
        </w:rPr>
        <w:t>景点</w:t>
      </w:r>
      <w:r>
        <w:rPr>
          <w:rFonts w:hint="eastAsia"/>
        </w:rPr>
        <w:t>建设，推进全域旅游示范</w:t>
      </w:r>
      <w:bookmarkEnd w:id="234"/>
    </w:p>
    <w:p>
      <w:pPr>
        <w:pStyle w:val="6"/>
        <w:ind w:firstLine="643"/>
        <w:rPr>
          <w:rFonts w:ascii="仿宋" w:hAnsi="仿宋" w:cs="仿宋"/>
          <w:sz w:val="32"/>
        </w:rPr>
      </w:pPr>
      <w:r>
        <w:rPr>
          <w:rFonts w:ascii="仿宋" w:hAnsi="仿宋" w:cs="仿宋"/>
          <w:sz w:val="32"/>
        </w:rPr>
        <w:t>6</w:t>
      </w:r>
      <w:r>
        <w:rPr>
          <w:rFonts w:hint="eastAsia" w:ascii="仿宋" w:hAnsi="仿宋" w:cs="仿宋"/>
          <w:sz w:val="32"/>
        </w:rPr>
        <w:t>.</w:t>
      </w:r>
      <w:r>
        <w:rPr>
          <w:rFonts w:ascii="仿宋" w:hAnsi="仿宋" w:cs="仿宋"/>
          <w:sz w:val="32"/>
        </w:rPr>
        <w:t>1</w:t>
      </w:r>
      <w:r>
        <w:rPr>
          <w:rFonts w:hint="eastAsia" w:ascii="仿宋" w:hAnsi="仿宋" w:cs="仿宋"/>
          <w:sz w:val="32"/>
        </w:rPr>
        <w:t>6.1 建设目标</w:t>
      </w:r>
    </w:p>
    <w:p>
      <w:pPr>
        <w:spacing w:line="560" w:lineRule="exact"/>
        <w:ind w:firstLine="560"/>
        <w:rPr>
          <w:szCs w:val="30"/>
          <w:shd w:val="clear" w:color="auto" w:fill="FFFFFF"/>
        </w:rPr>
      </w:pPr>
      <w:r>
        <w:rPr>
          <w:rFonts w:hint="eastAsia"/>
          <w:szCs w:val="30"/>
          <w:shd w:val="clear" w:color="auto" w:fill="FFFFFF"/>
        </w:rPr>
        <w:t>加快推进全域旅游示范县建设，力争“十四五”期间，创建5A级景区一处，4A级景区一处，3A级景区5处。</w:t>
      </w:r>
      <w:r>
        <w:rPr>
          <w:szCs w:val="30"/>
          <w:shd w:val="clear" w:color="auto" w:fill="FFFFFF"/>
        </w:rPr>
        <w:t>力争建成雪峰山大花瑶5A级景区、向家村4A级景区等一批等级景区。到2025年，文化旅游年接待人数突破300万人次，年旅游收入达15亿元以上</w:t>
      </w:r>
      <w:r>
        <w:rPr>
          <w:rFonts w:hint="eastAsia"/>
          <w:szCs w:val="30"/>
          <w:shd w:val="clear" w:color="auto" w:fill="FFFFFF"/>
        </w:rPr>
        <w:t>，创建国家级全域旅游示范县</w:t>
      </w:r>
      <w:r>
        <w:rPr>
          <w:szCs w:val="30"/>
          <w:shd w:val="clear" w:color="auto" w:fill="FFFFFF"/>
        </w:rPr>
        <w:t>。</w:t>
      </w:r>
    </w:p>
    <w:p>
      <w:pPr>
        <w:pStyle w:val="6"/>
        <w:ind w:firstLine="643"/>
        <w:rPr>
          <w:rFonts w:ascii="仿宋" w:hAnsi="仿宋" w:cs="仿宋"/>
          <w:sz w:val="32"/>
        </w:rPr>
      </w:pPr>
      <w:r>
        <w:rPr>
          <w:rFonts w:ascii="仿宋" w:hAnsi="仿宋" w:cs="仿宋"/>
          <w:sz w:val="32"/>
        </w:rPr>
        <w:t>6</w:t>
      </w:r>
      <w:r>
        <w:rPr>
          <w:rFonts w:hint="eastAsia" w:ascii="仿宋" w:hAnsi="仿宋" w:cs="仿宋"/>
          <w:sz w:val="32"/>
        </w:rPr>
        <w:t>.</w:t>
      </w:r>
      <w:r>
        <w:rPr>
          <w:rFonts w:ascii="仿宋" w:hAnsi="仿宋" w:cs="仿宋"/>
          <w:sz w:val="32"/>
        </w:rPr>
        <w:t>1</w:t>
      </w:r>
      <w:r>
        <w:rPr>
          <w:rFonts w:hint="eastAsia" w:ascii="仿宋" w:hAnsi="仿宋" w:cs="仿宋"/>
          <w:sz w:val="32"/>
        </w:rPr>
        <w:t>6.2 主要任务</w:t>
      </w:r>
    </w:p>
    <w:p>
      <w:pPr>
        <w:spacing w:line="560" w:lineRule="exact"/>
        <w:ind w:firstLine="560"/>
        <w:rPr>
          <w:szCs w:val="30"/>
          <w:shd w:val="clear" w:color="auto" w:fill="FFFFFF"/>
        </w:rPr>
      </w:pPr>
      <w:r>
        <w:rPr>
          <w:szCs w:val="30"/>
          <w:shd w:val="clear" w:color="auto" w:fill="FFFFFF"/>
        </w:rPr>
        <w:t>围绕“举花瑶旗、打魏源牌、挖滩头宝、建美丽城”的发展思路，加强等级景区、旅游度假区、旅游精品线路、旅游村镇、旅游品牌等的开发建设，主动融入大湘西地区文化生态旅游精品线路，力争成功创建全省全域旅游示范县。依托北部民俗生态、中部名人名山、南部娱乐休闲等旅游资源，推动形成形成北部民俗生态度假旅游圈、中部名人名山景仰旅游圈、南部文化娱乐休闲旅游圈全域旅游发展格局。加大县域北部花瑶景区、龙瑶景区、虎形山景区、白马山森林公园等生态景区开发力度，力争建成雪峰山大花瑶5A级景区、向家村4A级景区等一批等级景区。深入挖掘县域中部魏源湖、魏源故居及温泉、红军长征纪念设施和遗址等旅游资源，以魏源湖、望云山、大东山、贺龙战斗指挥所等旅游景区为重点，建设融生态、文化、康乐疗养和红色旅游为一体的精品旅游线路。加强县域南部狐狸岛、八仙潭、沐仙湖、桃源古镇休闲度假中心、桃花坪高新农业博览园、芙蓉山、九龙山等县城周边度假休闲景点建设，打造以县城桃花坪为中心的南部文化娱乐休闲旅游圈</w:t>
      </w:r>
      <w:r>
        <w:rPr>
          <w:rFonts w:hint="eastAsia"/>
          <w:szCs w:val="30"/>
          <w:shd w:val="clear" w:color="auto" w:fill="FFFFFF"/>
        </w:rPr>
        <w:t>。</w:t>
      </w:r>
    </w:p>
    <w:p>
      <w:pPr>
        <w:pStyle w:val="6"/>
        <w:ind w:firstLine="562"/>
      </w:pPr>
      <w:r>
        <w:rPr>
          <w:rFonts w:hint="eastAsia"/>
        </w:rPr>
        <w:t>6</w:t>
      </w:r>
      <w:r>
        <w:t>.1</w:t>
      </w:r>
      <w:r>
        <w:rPr>
          <w:rFonts w:hint="eastAsia"/>
        </w:rPr>
        <w:t>6</w:t>
      </w:r>
      <w:r>
        <w:t xml:space="preserve">.3 </w:t>
      </w:r>
      <w:r>
        <w:rPr>
          <w:rFonts w:hint="eastAsia"/>
        </w:rPr>
        <w:t>重点项目</w:t>
      </w:r>
    </w:p>
    <w:p>
      <w:pPr>
        <w:ind w:firstLine="560"/>
        <w:rPr>
          <w:shd w:val="clear" w:color="auto" w:fill="FFFFFF"/>
        </w:rPr>
      </w:pPr>
      <w:r>
        <w:rPr>
          <w:rFonts w:hint="eastAsia"/>
          <w:shd w:val="clear" w:color="auto" w:fill="FFFFFF"/>
        </w:rPr>
        <w:t>隆回县森林康养城乡一体化基地建设项目，湖南天龙山药王谷隆回魏源湖国家湿地公园生态文化旅游融合建设项目，隆回县虎形山花瑶5A景区建设项目，隆回县长征主题纪念设施和遗址保护利用建设项目，隆回九龙山生态旅游综合开发项目，隆回县石雕工艺文化主题园建设项目，城南湿地综合开发项目，隆回县红色旅游基地建设项目，隆回县十里花溪文化长廊建设项目，隆回县县城旅游服务中心建设项目，隆回县高洲温泉提质改造项目，魏源文化园项目，向家村乡村（4A）旅游开发项目，八仙潭旅游开发建设项目，狐狸岛综合开发建设项目，隆回县龙瑶幽谷４Ａ景区建设项目，大东山综合旅游开发项目，虎形山特色文旅小镇建设项目，云雾山旅游生态休闲中心建设项目，雪峰山山地度假文旅融合示范区，生态康养旅游建设项目。</w:t>
      </w:r>
    </w:p>
    <w:p>
      <w:pPr>
        <w:pStyle w:val="2"/>
        <w:ind w:firstLine="480"/>
      </w:pPr>
    </w:p>
    <w:p>
      <w:pPr>
        <w:pStyle w:val="3"/>
      </w:pPr>
    </w:p>
    <w:p>
      <w:pPr>
        <w:pStyle w:val="3"/>
      </w:pPr>
    </w:p>
    <w:p>
      <w:pPr>
        <w:pStyle w:val="3"/>
      </w:pPr>
    </w:p>
    <w:p>
      <w:pPr>
        <w:pStyle w:val="3"/>
      </w:pPr>
    </w:p>
    <w:p>
      <w:pPr>
        <w:pStyle w:val="3"/>
      </w:pPr>
    </w:p>
    <w:p>
      <w:pPr>
        <w:pStyle w:val="3"/>
      </w:pPr>
    </w:p>
    <w:p>
      <w:pPr>
        <w:pStyle w:val="3"/>
      </w:pPr>
    </w:p>
    <w:p>
      <w:pPr>
        <w:pStyle w:val="4"/>
        <w:ind w:firstLine="2209" w:firstLineChars="500"/>
        <w:jc w:val="both"/>
      </w:pPr>
      <w:bookmarkStart w:id="235" w:name="_Toc14165"/>
      <w:bookmarkStart w:id="236" w:name="_Toc30925"/>
      <w:bookmarkStart w:id="237" w:name="_Toc6033"/>
      <w:bookmarkStart w:id="238" w:name="_Toc17137"/>
      <w:bookmarkStart w:id="239" w:name="_Toc31259"/>
      <w:r>
        <w:rPr>
          <w:rFonts w:hint="eastAsia"/>
        </w:rPr>
        <w:t>第</w:t>
      </w:r>
      <w:r>
        <w:rPr>
          <w:rFonts w:hint="eastAsia"/>
          <w:lang w:eastAsia="zh-CN"/>
        </w:rPr>
        <w:t>六</w:t>
      </w:r>
      <w:r>
        <w:rPr>
          <w:rFonts w:hint="eastAsia"/>
        </w:rPr>
        <w:t>章 保障措施</w:t>
      </w:r>
      <w:bookmarkEnd w:id="235"/>
      <w:bookmarkEnd w:id="236"/>
      <w:bookmarkEnd w:id="237"/>
      <w:bookmarkEnd w:id="238"/>
      <w:bookmarkEnd w:id="239"/>
    </w:p>
    <w:p>
      <w:pPr>
        <w:pStyle w:val="5"/>
        <w:ind w:firstLine="643"/>
      </w:pPr>
      <w:bookmarkStart w:id="240" w:name="_Toc23008"/>
      <w:r>
        <w:t>7</w:t>
      </w:r>
      <w:r>
        <w:rPr>
          <w:rFonts w:hint="eastAsia"/>
        </w:rPr>
        <w:t>.1 解放思想强化领导，全面推进规划实施</w:t>
      </w:r>
      <w:bookmarkEnd w:id="240"/>
    </w:p>
    <w:p>
      <w:pPr>
        <w:ind w:firstLine="560"/>
      </w:pPr>
      <w:r>
        <w:rPr>
          <w:rFonts w:hint="eastAsia"/>
        </w:rPr>
        <w:t>县城建设是全县“十四五”经济发展的主战场，是县域经济发展的龙头。城市建设是一个复杂的系统工程，必须加强规划的前瞻性、系统性、规范性，规划一经编制完成，经过广泛研讨，补充完善，经过一定程序评审通过，集中社会智慧，就必须尊重规划，落实规划。避免“规划规划，纸上画画”情况的出现，更要避免“千规划万规划，抵不上领导一句话”的情况，树立坚持一张蓝图干到底，一任接着一任干的接力棒思维。</w:t>
      </w:r>
    </w:p>
    <w:p>
      <w:pPr>
        <w:pStyle w:val="5"/>
        <w:ind w:firstLine="643"/>
      </w:pPr>
      <w:bookmarkStart w:id="241" w:name="_Toc19567"/>
      <w:r>
        <w:t xml:space="preserve">7.2 </w:t>
      </w:r>
      <w:r>
        <w:rPr>
          <w:rFonts w:hint="eastAsia"/>
        </w:rPr>
        <w:t>盘活资源集中要素，提供规划实施保障</w:t>
      </w:r>
      <w:bookmarkEnd w:id="241"/>
    </w:p>
    <w:p>
      <w:pPr>
        <w:ind w:firstLine="560"/>
      </w:pPr>
      <w:r>
        <w:rPr>
          <w:rFonts w:hint="eastAsia"/>
        </w:rPr>
        <w:t>城镇建设规划的实施，需要要素保障。一是保障土地资源要素，整合土地规划用地规模，集中支持和保障近期县城建设。充分挖掘盘活存量建设用地潜力，积极开展城镇低效用地二次开发利用，提高土地集约利用水平。实现城乡用地统筹，探索建立城乡统一的土地市场，推进集体建设用地使用权流转，用好城乡建设用地增减挂钩和工矿废弃地复垦利用试点政策，节约指标用于县城建设。在耕地保有量不减少，城乡建设用地规模不增加的前提下，最大程度利用好耕地占补平衡政策。出台一系列城建规划配套政策，建立规划实施领导机制，明确规划实施领导班子，保障规划全面推进。二是保障资金要素，放大政府引导资金效应，通过财政注资、市场募资、整合存量资产等多种方式，优化平台公司资本结构和股东结构。建立相对集中、稳步增长的政府投入机制和平台公司承担公益性项目建设的利益补偿机制，实现县城建设的可持续融资。开放市政公用市场，鼓励民间以独资、参股等方式参与县城基础设施建设的投资和经营。</w:t>
      </w:r>
    </w:p>
    <w:p>
      <w:pPr>
        <w:pStyle w:val="5"/>
        <w:ind w:firstLine="643"/>
      </w:pPr>
      <w:bookmarkStart w:id="242" w:name="_Toc11359"/>
      <w:r>
        <w:t>7</w:t>
      </w:r>
      <w:r>
        <w:rPr>
          <w:rFonts w:hint="eastAsia"/>
        </w:rPr>
        <w:t>.</w:t>
      </w:r>
      <w:r>
        <w:t>3</w:t>
      </w:r>
      <w:r>
        <w:rPr>
          <w:rFonts w:hint="eastAsia"/>
        </w:rPr>
        <w:t>加强规划指导引领，形成规划实施合力</w:t>
      </w:r>
      <w:bookmarkEnd w:id="242"/>
    </w:p>
    <w:p>
      <w:pPr>
        <w:ind w:firstLine="562"/>
        <w:rPr>
          <w:b/>
          <w:bCs/>
        </w:rPr>
      </w:pPr>
      <w:r>
        <w:rPr>
          <w:rFonts w:hint="eastAsia"/>
          <w:b/>
          <w:bCs/>
        </w:rPr>
        <w:t>一是要在全社会形成规划共识</w:t>
      </w:r>
    </w:p>
    <w:p>
      <w:pPr>
        <w:ind w:firstLine="560"/>
      </w:pPr>
      <w:r>
        <w:rPr>
          <w:rFonts w:hint="eastAsia"/>
        </w:rPr>
        <w:t>要适当加强规划宣传，让全社会明确城市规划目标，县城发展重点，发展方向。切实将“补短板，拉长板”、节约集约经营城市，平衡协调发展城市，在全社会形成规划合力。参与城市管理的机关和单位，是规划落实的执行者和监督者，要树立规划理念，明确规划目标，落实规划任务，形成规划自觉，见规划分解到年度计划，分解到各个职能部门，分解到日常管理中间。</w:t>
      </w:r>
    </w:p>
    <w:p>
      <w:pPr>
        <w:ind w:firstLine="562"/>
        <w:rPr>
          <w:b/>
          <w:bCs/>
        </w:rPr>
      </w:pPr>
      <w:r>
        <w:rPr>
          <w:rFonts w:hint="eastAsia"/>
          <w:b/>
          <w:bCs/>
        </w:rPr>
        <w:t>二是要用规划引领发展理念</w:t>
      </w:r>
    </w:p>
    <w:p>
      <w:pPr>
        <w:ind w:firstLine="560"/>
      </w:pPr>
      <w:r>
        <w:rPr>
          <w:rFonts w:hint="eastAsia"/>
        </w:rPr>
        <w:t>全县上下要要树立规划引领的思想理念，科学经营城市的理念，结合县城目标体系，明确规划任务目标、发展指标、完成时限。</w:t>
      </w:r>
    </w:p>
    <w:p>
      <w:pPr>
        <w:ind w:firstLine="562"/>
        <w:rPr>
          <w:b/>
          <w:bCs/>
        </w:rPr>
      </w:pPr>
      <w:r>
        <w:rPr>
          <w:rFonts w:hint="eastAsia"/>
          <w:b/>
          <w:bCs/>
        </w:rPr>
        <w:t>三是要用规划引领常规工作</w:t>
      </w:r>
    </w:p>
    <w:p>
      <w:pPr>
        <w:ind w:firstLine="560"/>
      </w:pPr>
      <w:r>
        <w:rPr>
          <w:rFonts w:hint="eastAsia"/>
        </w:rPr>
        <w:t>要将规划落实到年度工作计划，分解到部门和岗位，落实到每个环节。科学合理制定推进</w:t>
      </w:r>
      <w:r>
        <w:rPr>
          <w:rFonts w:hint="eastAsia"/>
          <w:lang w:eastAsia="zh-CN"/>
        </w:rPr>
        <w:t>“</w:t>
      </w:r>
      <w:r>
        <w:rPr>
          <w:rFonts w:hint="eastAsia"/>
        </w:rPr>
        <w:t>十四五</w:t>
      </w:r>
      <w:r>
        <w:rPr>
          <w:rFonts w:hint="eastAsia"/>
          <w:lang w:eastAsia="zh-CN"/>
        </w:rPr>
        <w:t>”</w:t>
      </w:r>
      <w:r>
        <w:rPr>
          <w:rFonts w:hint="eastAsia"/>
        </w:rPr>
        <w:t>规划的具体措施和完成时限，在县城规划设计、环境整治、园林绿化、城中村改造、基础设施建设、公共服务设施建设、产业集聚等方面，开展专项攻坚行动，实行项目责任制的推进机制，切实将任务落实到项目，责任落实到干部。</w:t>
      </w:r>
    </w:p>
    <w:p>
      <w:pPr>
        <w:ind w:firstLine="560"/>
      </w:pPr>
      <w:r>
        <w:rPr>
          <w:rFonts w:hint="eastAsia"/>
        </w:rPr>
        <w:t>要按照重点项目成立指挥部的管理模式，按照重点项目考核机制落实城镇建设重点项目，兑现奖罚，考核干部。</w:t>
      </w:r>
    </w:p>
    <w:p>
      <w:pPr>
        <w:ind w:firstLine="562"/>
        <w:rPr>
          <w:b/>
          <w:bCs/>
        </w:rPr>
      </w:pPr>
      <w:r>
        <w:rPr>
          <w:rFonts w:hint="eastAsia"/>
          <w:b/>
          <w:bCs/>
        </w:rPr>
        <w:t>四是要用规划规范管理行为</w:t>
      </w:r>
    </w:p>
    <w:p>
      <w:pPr>
        <w:ind w:firstLine="560"/>
      </w:pPr>
      <w:r>
        <w:rPr>
          <w:rFonts w:hint="eastAsia"/>
        </w:rPr>
        <w:t>在具体的城市建设中，会出现各种各类问题，有时候会出现很多与规划相抵触的情况，这就需要领导和干部，坚守规划定力，围绕规划目标去处理矛盾问题。</w:t>
      </w:r>
    </w:p>
    <w:p>
      <w:pPr>
        <w:pStyle w:val="5"/>
        <w:ind w:firstLine="643"/>
      </w:pPr>
      <w:bookmarkStart w:id="243" w:name="_Toc3239"/>
      <w:r>
        <w:t>7.4</w:t>
      </w:r>
      <w:r>
        <w:rPr>
          <w:rFonts w:hint="eastAsia"/>
        </w:rPr>
        <w:t>维护规划法律刚性，</w:t>
      </w:r>
      <w:bookmarkStart w:id="244" w:name="_Hlk59053806"/>
      <w:r>
        <w:rPr>
          <w:rFonts w:hint="eastAsia"/>
        </w:rPr>
        <w:t>强化规划实施保障</w:t>
      </w:r>
      <w:bookmarkEnd w:id="243"/>
    </w:p>
    <w:bookmarkEnd w:id="244"/>
    <w:p>
      <w:pPr>
        <w:ind w:firstLine="560"/>
      </w:pPr>
      <w:r>
        <w:rPr>
          <w:rFonts w:hint="eastAsia"/>
        </w:rPr>
        <w:t>规划一经制定，就必须瞄准规划目标，维护规划刚性，坚决推进规划项目实施。完善规划建设管理工作的法律规章，坚持依法建设，依法管理，强化规划实施</w:t>
      </w:r>
      <w:r>
        <w:t>法律保障</w:t>
      </w:r>
      <w:r>
        <w:rPr>
          <w:rFonts w:hint="eastAsia"/>
        </w:rPr>
        <w:t>。</w:t>
      </w:r>
    </w:p>
    <w:p>
      <w:pPr>
        <w:pStyle w:val="5"/>
        <w:ind w:firstLine="643"/>
      </w:pPr>
      <w:bookmarkStart w:id="245" w:name="_Toc14003"/>
      <w:r>
        <w:t>7</w:t>
      </w:r>
      <w:r>
        <w:rPr>
          <w:rFonts w:hint="eastAsia"/>
        </w:rPr>
        <w:t>.</w:t>
      </w:r>
      <w:r>
        <w:t>5</w:t>
      </w:r>
      <w:r>
        <w:rPr>
          <w:rFonts w:hint="eastAsia"/>
        </w:rPr>
        <w:t xml:space="preserve"> 推进规划应时完善，保障规划科学可行</w:t>
      </w:r>
      <w:bookmarkEnd w:id="245"/>
    </w:p>
    <w:p>
      <w:pPr>
        <w:ind w:firstLine="562"/>
        <w:rPr>
          <w:b/>
          <w:bCs/>
        </w:rPr>
      </w:pPr>
      <w:r>
        <w:rPr>
          <w:rFonts w:hint="eastAsia"/>
          <w:b/>
          <w:bCs/>
        </w:rPr>
        <w:t>一是要加强与上级规划的衔接</w:t>
      </w:r>
    </w:p>
    <w:p>
      <w:pPr>
        <w:ind w:firstLine="560"/>
      </w:pPr>
      <w:r>
        <w:rPr>
          <w:rFonts w:hint="eastAsia"/>
        </w:rPr>
        <w:t>上级规划是区域性发展规划，下级规划必须服从于上级规划，重大项目要纳入上级发展规划，争取上级规划的支持。</w:t>
      </w:r>
    </w:p>
    <w:p>
      <w:pPr>
        <w:ind w:firstLine="562"/>
        <w:rPr>
          <w:b/>
          <w:bCs/>
        </w:rPr>
      </w:pPr>
      <w:r>
        <w:rPr>
          <w:rFonts w:hint="eastAsia"/>
          <w:b/>
          <w:bCs/>
        </w:rPr>
        <w:t>二是要加强与部门规划的互补</w:t>
      </w:r>
    </w:p>
    <w:p>
      <w:pPr>
        <w:ind w:firstLine="560"/>
      </w:pPr>
      <w:r>
        <w:rPr>
          <w:rFonts w:hint="eastAsia"/>
        </w:rPr>
        <w:t>同级不同部门都有发展规划，这些规划是一个相互补充的整体，很多工作和项目在规划层面“你中有我、我中有你”，要相互补充，相互完善。</w:t>
      </w:r>
    </w:p>
    <w:p>
      <w:pPr>
        <w:ind w:firstLine="562"/>
        <w:rPr>
          <w:b/>
          <w:bCs/>
        </w:rPr>
      </w:pPr>
      <w:r>
        <w:rPr>
          <w:rFonts w:hint="eastAsia"/>
          <w:b/>
          <w:bCs/>
        </w:rPr>
        <w:t>三是要开展规划评估</w:t>
      </w:r>
    </w:p>
    <w:p>
      <w:pPr>
        <w:ind w:firstLine="560"/>
      </w:pPr>
      <w:r>
        <w:rPr>
          <w:rFonts w:hint="eastAsia"/>
        </w:rPr>
        <w:t>规划的编制有一定的时间节点，随着上级政策的变化、发展条件的改变，在实施过程中，会出现规划的新情况、新问题，要根据变化之后的政策、环境和条件，及时完善和调整规划。在年度工作总结和回顾，在年度工作的计划和部署，在阶段性工作的落实和安排，等关键时间节点，都要评估对照规划，对规划的科学性可行性完整性进行评估。在规划期限进行一半的时候，要组织对规划的落实情况进行中期评估，发现不足，完善修整规划，指导规划的后期实施。规划期限末期，要总结规划的实施总体情况，指导下一个规划期的编制，确保远景目标的实现。</w:t>
      </w:r>
    </w:p>
    <w:p>
      <w:pPr>
        <w:pStyle w:val="5"/>
        <w:ind w:firstLine="643"/>
      </w:pPr>
      <w:bookmarkStart w:id="246" w:name="_Toc13905"/>
      <w:r>
        <w:t>7</w:t>
      </w:r>
      <w:r>
        <w:rPr>
          <w:rFonts w:hint="eastAsia"/>
        </w:rPr>
        <w:t>.</w:t>
      </w:r>
      <w:r>
        <w:t>6</w:t>
      </w:r>
      <w:r>
        <w:rPr>
          <w:rFonts w:hint="eastAsia"/>
        </w:rPr>
        <w:t>加强综合管控治理，树立城镇文明新风</w:t>
      </w:r>
      <w:bookmarkEnd w:id="246"/>
    </w:p>
    <w:p>
      <w:pPr>
        <w:ind w:firstLine="560"/>
      </w:pPr>
      <w:r>
        <w:rPr>
          <w:rFonts w:hint="eastAsia"/>
        </w:rPr>
        <w:t>城市基础设施、</w:t>
      </w:r>
      <w:r>
        <w:fldChar w:fldCharType="begin"/>
      </w:r>
      <w:r>
        <w:instrText xml:space="preserve"> HYPERLINK "https://baike.baidu.com/item/%E5%85%AC%E5%85%B1%E6%9C%8D%E5%8A%A1%E8%AE%BE%E6%96%BD" \t "https://baike.baidu.com/item/%E5%9F%8E%E5%B8%82%E7%AE%A1%E7%90%86/_blank" </w:instrText>
      </w:r>
      <w:r>
        <w:fldChar w:fldCharType="separate"/>
      </w:r>
      <w:r>
        <w:t>公共服务设施</w:t>
      </w:r>
      <w:r>
        <w:fldChar w:fldCharType="end"/>
      </w:r>
      <w:r>
        <w:t>和社会公共事务的运行构成了</w:t>
      </w:r>
      <w:r>
        <w:fldChar w:fldCharType="begin"/>
      </w:r>
      <w:r>
        <w:instrText xml:space="preserve"> HYPERLINK "https://baike.baidu.com/item/%E5%9F%8E%E5%B8%82%E7%BB%8F%E6%B5%8E" \t "https://baike.baidu.com/item/%E5%9F%8E%E5%B8%82%E7%AE%A1%E7%90%86/_blank" </w:instrText>
      </w:r>
      <w:r>
        <w:fldChar w:fldCharType="separate"/>
      </w:r>
      <w:r>
        <w:t>城市经济</w:t>
      </w:r>
      <w:r>
        <w:fldChar w:fldCharType="end"/>
      </w:r>
      <w:r>
        <w:t>社会发展的环境，城市管理在城市经济社会发展具有基础性的作用。</w:t>
      </w:r>
      <w:r>
        <w:rPr>
          <w:rFonts w:hint="eastAsia"/>
        </w:rPr>
        <w:t>城市管理是指以城市这个开放的复杂巨系统为对象，以城市基本信息流为基础，运用</w:t>
      </w:r>
      <w:r>
        <w:fldChar w:fldCharType="begin"/>
      </w:r>
      <w:r>
        <w:instrText xml:space="preserve"> HYPERLINK "https://baike.baidu.com/item/%E5%86%B3%E7%AD%96" \t "https://baike.baidu.com/item/%E5%9F%8E%E5%B8%82%E7%AE%A1%E7%90%86/_blank" </w:instrText>
      </w:r>
      <w:r>
        <w:fldChar w:fldCharType="separate"/>
      </w:r>
      <w:r>
        <w:t>决策</w:t>
      </w:r>
      <w:r>
        <w:fldChar w:fldCharType="end"/>
      </w:r>
      <w:r>
        <w:t>、计划、组织、指挥、协调、控制等一系列机制，采用法律、经济、行政、技术等手段，通过政府、市场与社会的互动，围绕城市运行和发展进行的决策引导、规范协调、服务和经营行为</w:t>
      </w:r>
      <w:r>
        <w:rPr>
          <w:rFonts w:hint="eastAsia"/>
        </w:rPr>
        <w:t>，引进科学可行的管理机制。 “十四五”期间应该学习先进的管理理念、引进科学的管理技术、安装数字化的管理装备、改善现有的管理条件，实行数字化管理、智能化管控，全面提升城市管理水平。</w:t>
      </w:r>
      <w:bookmarkStart w:id="247" w:name="_Toc14810"/>
      <w:bookmarkStart w:id="248" w:name="_Toc17037"/>
      <w:bookmarkStart w:id="249" w:name="_Toc17984"/>
      <w:bookmarkStart w:id="250" w:name="_Toc29207"/>
    </w:p>
    <w:p>
      <w:pPr>
        <w:pStyle w:val="4"/>
        <w:ind w:firstLine="883"/>
      </w:pPr>
    </w:p>
    <w:p>
      <w:pPr>
        <w:ind w:firstLine="560"/>
      </w:pPr>
    </w:p>
    <w:p>
      <w:pPr>
        <w:pStyle w:val="4"/>
        <w:ind w:firstLine="2209" w:firstLineChars="500"/>
        <w:jc w:val="both"/>
      </w:pPr>
      <w:bookmarkStart w:id="251" w:name="_Toc25315"/>
      <w:r>
        <w:rPr>
          <w:rFonts w:hint="eastAsia"/>
        </w:rPr>
        <w:t>第</w:t>
      </w:r>
      <w:r>
        <w:rPr>
          <w:rFonts w:hint="eastAsia"/>
          <w:lang w:eastAsia="zh-CN"/>
        </w:rPr>
        <w:t>七</w:t>
      </w:r>
      <w:r>
        <w:rPr>
          <w:rFonts w:hint="eastAsia"/>
        </w:rPr>
        <w:t>章 重点项目</w:t>
      </w:r>
      <w:bookmarkEnd w:id="247"/>
      <w:bookmarkEnd w:id="248"/>
      <w:bookmarkEnd w:id="249"/>
      <w:bookmarkEnd w:id="250"/>
      <w:r>
        <w:rPr>
          <w:rFonts w:hint="eastAsia"/>
        </w:rPr>
        <w:t>库</w:t>
      </w:r>
      <w:bookmarkEnd w:id="251"/>
    </w:p>
    <w:p>
      <w:pPr>
        <w:ind w:firstLine="560"/>
      </w:pPr>
      <w:r>
        <w:rPr>
          <w:rFonts w:hint="eastAsia"/>
        </w:rPr>
        <w:t>建立隆回县“十四五”城镇建设重大项目库，列入项目共67个，概算计划总投资929亿元，“十四五”期间计划完成投资409亿元。（详见附表）。</w:t>
      </w:r>
    </w:p>
    <w:p>
      <w:pPr>
        <w:ind w:firstLine="560"/>
      </w:pPr>
    </w:p>
    <w:p>
      <w:pPr>
        <w:pStyle w:val="5"/>
        <w:ind w:firstLine="643"/>
        <w:sectPr>
          <w:pgSz w:w="11906" w:h="16838"/>
          <w:pgMar w:top="1440" w:right="1800" w:bottom="1440" w:left="1800" w:header="851" w:footer="992" w:gutter="0"/>
          <w:cols w:space="425" w:num="1"/>
          <w:docGrid w:type="lines" w:linePitch="312" w:charSpace="0"/>
        </w:sectPr>
      </w:pPr>
    </w:p>
    <w:tbl>
      <w:tblPr>
        <w:tblStyle w:val="23"/>
        <w:tblW w:w="5135" w:type="pct"/>
        <w:tblInd w:w="-290" w:type="dxa"/>
        <w:tblLayout w:type="fixed"/>
        <w:tblCellMar>
          <w:top w:w="0" w:type="dxa"/>
          <w:left w:w="0" w:type="dxa"/>
          <w:bottom w:w="0" w:type="dxa"/>
          <w:right w:w="0" w:type="dxa"/>
        </w:tblCellMar>
      </w:tblPr>
      <w:tblGrid>
        <w:gridCol w:w="336"/>
        <w:gridCol w:w="1992"/>
        <w:gridCol w:w="617"/>
        <w:gridCol w:w="691"/>
        <w:gridCol w:w="7272"/>
        <w:gridCol w:w="640"/>
        <w:gridCol w:w="680"/>
        <w:gridCol w:w="920"/>
        <w:gridCol w:w="1218"/>
      </w:tblGrid>
      <w:tr>
        <w:tblPrEx>
          <w:tblCellMar>
            <w:top w:w="0" w:type="dxa"/>
            <w:left w:w="0" w:type="dxa"/>
            <w:bottom w:w="0" w:type="dxa"/>
            <w:right w:w="0" w:type="dxa"/>
          </w:tblCellMar>
        </w:tblPrEx>
        <w:trPr>
          <w:trHeight w:val="443" w:hRule="atLeast"/>
          <w:tblHeader/>
        </w:trPr>
        <w:tc>
          <w:tcPr>
            <w:tcW w:w="14366" w:type="dxa"/>
            <w:gridSpan w:val="9"/>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b/>
                <w:kern w:val="0"/>
                <w:sz w:val="21"/>
                <w:szCs w:val="21"/>
              </w:rPr>
            </w:pPr>
            <w:r>
              <w:rPr>
                <w:rFonts w:hint="eastAsia" w:ascii="微软雅黑" w:hAnsi="微软雅黑" w:eastAsia="微软雅黑" w:cs="微软雅黑"/>
                <w:b/>
                <w:kern w:val="0"/>
                <w:szCs w:val="28"/>
              </w:rPr>
              <w:t>附表                      隆回县“十四五”城市建设重大项目库</w:t>
            </w:r>
          </w:p>
        </w:tc>
      </w:tr>
      <w:tr>
        <w:tblPrEx>
          <w:tblCellMar>
            <w:top w:w="0" w:type="dxa"/>
            <w:left w:w="0" w:type="dxa"/>
            <w:bottom w:w="0" w:type="dxa"/>
            <w:right w:w="0" w:type="dxa"/>
          </w:tblCellMar>
        </w:tblPrEx>
        <w:trPr>
          <w:trHeight w:val="703" w:hRule="atLeast"/>
          <w:tblHeader/>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b/>
                <w:kern w:val="0"/>
                <w:sz w:val="21"/>
                <w:szCs w:val="21"/>
              </w:rPr>
              <w:t>序号</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b/>
                <w:kern w:val="0"/>
                <w:sz w:val="21"/>
                <w:szCs w:val="21"/>
              </w:rPr>
              <w:t>项目名称</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kern w:val="0"/>
                <w:sz w:val="21"/>
                <w:szCs w:val="21"/>
              </w:rPr>
            </w:pPr>
            <w:r>
              <w:rPr>
                <w:b/>
                <w:kern w:val="0"/>
                <w:sz w:val="21"/>
                <w:szCs w:val="21"/>
              </w:rPr>
              <w:t>建设</w:t>
            </w:r>
          </w:p>
          <w:p>
            <w:pPr>
              <w:widowControl/>
              <w:spacing w:line="300" w:lineRule="exact"/>
              <w:ind w:firstLine="0" w:firstLineChars="0"/>
              <w:jc w:val="center"/>
              <w:textAlignment w:val="center"/>
              <w:rPr>
                <w:b/>
                <w:sz w:val="21"/>
                <w:szCs w:val="21"/>
              </w:rPr>
            </w:pPr>
            <w:r>
              <w:rPr>
                <w:b/>
                <w:kern w:val="0"/>
                <w:sz w:val="21"/>
                <w:szCs w:val="21"/>
              </w:rPr>
              <w:t>性质</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kern w:val="0"/>
                <w:sz w:val="21"/>
                <w:szCs w:val="21"/>
              </w:rPr>
            </w:pPr>
            <w:r>
              <w:rPr>
                <w:b/>
                <w:kern w:val="0"/>
                <w:sz w:val="21"/>
                <w:szCs w:val="21"/>
              </w:rPr>
              <w:t>建设</w:t>
            </w:r>
          </w:p>
          <w:p>
            <w:pPr>
              <w:widowControl/>
              <w:spacing w:line="300" w:lineRule="exact"/>
              <w:ind w:firstLine="0" w:firstLineChars="0"/>
              <w:jc w:val="center"/>
              <w:textAlignment w:val="center"/>
              <w:rPr>
                <w:b/>
                <w:sz w:val="21"/>
                <w:szCs w:val="21"/>
              </w:rPr>
            </w:pPr>
            <w:r>
              <w:rPr>
                <w:b/>
                <w:kern w:val="0"/>
                <w:sz w:val="21"/>
                <w:szCs w:val="21"/>
              </w:rPr>
              <w:t>地点</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b/>
                <w:kern w:val="0"/>
                <w:sz w:val="21"/>
                <w:szCs w:val="21"/>
              </w:rPr>
              <w:t>建设规模与主要建设内容</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kern w:val="0"/>
                <w:sz w:val="21"/>
                <w:szCs w:val="21"/>
              </w:rPr>
            </w:pPr>
            <w:r>
              <w:rPr>
                <w:b/>
                <w:kern w:val="0"/>
                <w:sz w:val="21"/>
                <w:szCs w:val="21"/>
              </w:rPr>
              <w:t>开工</w:t>
            </w:r>
          </w:p>
          <w:p>
            <w:pPr>
              <w:widowControl/>
              <w:spacing w:line="300" w:lineRule="exact"/>
              <w:ind w:firstLine="0" w:firstLineChars="0"/>
              <w:jc w:val="center"/>
              <w:textAlignment w:val="center"/>
              <w:rPr>
                <w:b/>
                <w:sz w:val="21"/>
                <w:szCs w:val="21"/>
              </w:rPr>
            </w:pPr>
            <w:r>
              <w:rPr>
                <w:b/>
                <w:kern w:val="0"/>
                <w:sz w:val="21"/>
                <w:szCs w:val="21"/>
              </w:rPr>
              <w:t>年份</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kern w:val="0"/>
                <w:sz w:val="21"/>
                <w:szCs w:val="21"/>
              </w:rPr>
            </w:pPr>
            <w:r>
              <w:rPr>
                <w:b/>
                <w:kern w:val="0"/>
                <w:sz w:val="21"/>
                <w:szCs w:val="21"/>
              </w:rPr>
              <w:t>竣工</w:t>
            </w:r>
          </w:p>
          <w:p>
            <w:pPr>
              <w:widowControl/>
              <w:spacing w:line="300" w:lineRule="exact"/>
              <w:ind w:firstLine="0" w:firstLineChars="0"/>
              <w:jc w:val="center"/>
              <w:textAlignment w:val="center"/>
              <w:rPr>
                <w:b/>
                <w:sz w:val="21"/>
                <w:szCs w:val="21"/>
              </w:rPr>
            </w:pPr>
            <w:r>
              <w:rPr>
                <w:b/>
                <w:kern w:val="0"/>
                <w:sz w:val="21"/>
                <w:szCs w:val="21"/>
              </w:rPr>
              <w:t>年份</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kern w:val="0"/>
                <w:sz w:val="21"/>
                <w:szCs w:val="21"/>
              </w:rPr>
            </w:pPr>
            <w:r>
              <w:rPr>
                <w:b/>
                <w:kern w:val="0"/>
                <w:sz w:val="21"/>
                <w:szCs w:val="21"/>
              </w:rPr>
              <w:t>总投资</w:t>
            </w:r>
          </w:p>
          <w:p>
            <w:pPr>
              <w:widowControl/>
              <w:spacing w:line="300" w:lineRule="exact"/>
              <w:ind w:firstLine="0" w:firstLineChars="0"/>
              <w:jc w:val="center"/>
              <w:textAlignment w:val="center"/>
              <w:rPr>
                <w:b/>
                <w:sz w:val="21"/>
                <w:szCs w:val="21"/>
              </w:rPr>
            </w:pPr>
            <w:r>
              <w:rPr>
                <w:b/>
                <w:kern w:val="0"/>
                <w:sz w:val="21"/>
                <w:szCs w:val="21"/>
              </w:rPr>
              <w:t>（万元）</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b/>
                <w:kern w:val="0"/>
                <w:sz w:val="21"/>
                <w:szCs w:val="21"/>
              </w:rPr>
              <w:t>十四五计划投资（万元）</w:t>
            </w:r>
          </w:p>
        </w:tc>
      </w:tr>
      <w:tr>
        <w:tblPrEx>
          <w:tblCellMar>
            <w:top w:w="0" w:type="dxa"/>
            <w:left w:w="0" w:type="dxa"/>
            <w:bottom w:w="0" w:type="dxa"/>
            <w:right w:w="0" w:type="dxa"/>
          </w:tblCellMar>
        </w:tblPrEx>
        <w:trPr>
          <w:trHeight w:val="255" w:hRule="atLeast"/>
        </w:trPr>
        <w:tc>
          <w:tcPr>
            <w:tcW w:w="232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632" w:firstLineChars="300"/>
              <w:jc w:val="left"/>
              <w:textAlignment w:val="center"/>
              <w:rPr>
                <w:b/>
                <w:sz w:val="21"/>
                <w:szCs w:val="21"/>
              </w:rPr>
            </w:pPr>
            <w:r>
              <w:rPr>
                <w:rFonts w:hint="eastAsia"/>
                <w:b/>
                <w:sz w:val="21"/>
                <w:szCs w:val="21"/>
              </w:rPr>
              <w:t>项目类别</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rPr>
                <w:b/>
                <w:sz w:val="21"/>
                <w:szCs w:val="21"/>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rPr>
                <w:b/>
                <w:sz w:val="21"/>
                <w:szCs w:val="21"/>
              </w:rPr>
            </w:pP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rPr>
                <w:b/>
                <w:sz w:val="21"/>
                <w:szCs w:val="21"/>
              </w:rPr>
            </w:pPr>
            <w:r>
              <w:rPr>
                <w:rFonts w:hint="eastAsia"/>
                <w:b/>
                <w:sz w:val="21"/>
                <w:szCs w:val="21"/>
              </w:rPr>
              <w:t xml:space="preserve"> </w:t>
            </w:r>
            <w:r>
              <w:rPr>
                <w:b/>
                <w:sz w:val="21"/>
                <w:szCs w:val="21"/>
              </w:rPr>
              <w:t xml:space="preserve"> </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rPr>
                <w:b/>
                <w:sz w:val="21"/>
                <w:szCs w:val="21"/>
              </w:rPr>
            </w:pP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rPr>
                <w:b/>
                <w:sz w:val="21"/>
                <w:szCs w:val="21"/>
              </w:rPr>
            </w:pP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b/>
                <w:sz w:val="21"/>
                <w:szCs w:val="21"/>
              </w:rPr>
              <w:t>10985796</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b/>
                <w:sz w:val="21"/>
                <w:szCs w:val="21"/>
              </w:rPr>
              <w:t>10221076</w:t>
            </w:r>
          </w:p>
        </w:tc>
      </w:tr>
      <w:tr>
        <w:tblPrEx>
          <w:tblCellMar>
            <w:top w:w="0" w:type="dxa"/>
            <w:left w:w="0" w:type="dxa"/>
            <w:bottom w:w="0" w:type="dxa"/>
            <w:right w:w="0" w:type="dxa"/>
          </w:tblCellMar>
        </w:tblPrEx>
        <w:trPr>
          <w:trHeight w:val="286" w:hRule="atLeast"/>
        </w:trPr>
        <w:tc>
          <w:tcPr>
            <w:tcW w:w="232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kern w:val="0"/>
                <w:sz w:val="21"/>
                <w:szCs w:val="21"/>
              </w:rPr>
            </w:pPr>
            <w:r>
              <w:rPr>
                <w:rFonts w:hint="eastAsia"/>
                <w:b/>
                <w:bCs/>
                <w:kern w:val="0"/>
                <w:sz w:val="21"/>
                <w:szCs w:val="21"/>
              </w:rPr>
              <w:t>（一）城市功能提升工程</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3575000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3575000</w:t>
            </w:r>
          </w:p>
        </w:tc>
      </w:tr>
      <w:tr>
        <w:tblPrEx>
          <w:tblCellMar>
            <w:top w:w="0" w:type="dxa"/>
            <w:left w:w="0" w:type="dxa"/>
            <w:bottom w:w="0" w:type="dxa"/>
            <w:right w:w="0" w:type="dxa"/>
          </w:tblCellMar>
        </w:tblPrEx>
        <w:trPr>
          <w:trHeight w:val="48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1</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kern w:val="0"/>
                <w:sz w:val="21"/>
                <w:szCs w:val="21"/>
              </w:rPr>
            </w:pPr>
            <w:r>
              <w:rPr>
                <w:rFonts w:hint="eastAsia"/>
                <w:kern w:val="0"/>
                <w:sz w:val="21"/>
                <w:szCs w:val="21"/>
              </w:rPr>
              <w:t>县城桥梁新建</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县城</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新建和续建七里大桥、青丰大桥、白沙湾大桥、凤仙庵大桥等四座桥梁</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25000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25000</w:t>
            </w:r>
          </w:p>
        </w:tc>
      </w:tr>
      <w:tr>
        <w:tblPrEx>
          <w:tblCellMar>
            <w:top w:w="0" w:type="dxa"/>
            <w:left w:w="0" w:type="dxa"/>
            <w:bottom w:w="0" w:type="dxa"/>
            <w:right w:w="0" w:type="dxa"/>
          </w:tblCellMar>
        </w:tblPrEx>
        <w:trPr>
          <w:trHeight w:val="642"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2</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kern w:val="0"/>
                <w:sz w:val="21"/>
                <w:szCs w:val="21"/>
              </w:rPr>
            </w:pPr>
            <w:r>
              <w:rPr>
                <w:rFonts w:hint="eastAsia"/>
                <w:kern w:val="0"/>
                <w:sz w:val="21"/>
                <w:szCs w:val="21"/>
              </w:rPr>
              <w:t>县城道路改扩建</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改建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县城</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对九龙路、桃洪西路、沿江北路、桃花路、紫霞路、朝阳路、等城市道路进行提质改造，总长15公里</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90000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90000</w:t>
            </w:r>
          </w:p>
        </w:tc>
      </w:tr>
      <w:tr>
        <w:tblPrEx>
          <w:tblCellMar>
            <w:top w:w="0" w:type="dxa"/>
            <w:left w:w="0" w:type="dxa"/>
            <w:bottom w:w="0" w:type="dxa"/>
            <w:right w:w="0" w:type="dxa"/>
          </w:tblCellMar>
        </w:tblPrEx>
        <w:trPr>
          <w:trHeight w:val="72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3</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kern w:val="0"/>
                <w:sz w:val="21"/>
                <w:szCs w:val="21"/>
              </w:rPr>
            </w:pPr>
            <w:r>
              <w:rPr>
                <w:rFonts w:hint="eastAsia"/>
                <w:kern w:val="0"/>
                <w:sz w:val="21"/>
                <w:szCs w:val="21"/>
              </w:rPr>
              <w:t>城市供水工程</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县城</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新建木瓜山水库至隆回引水主管70公里，改造九龙路、桃洪西路、沿江北路、桃花路、紫霞路、朝阳路的老旧给水管网30公里，建成全县智慧水务系统平台</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28000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28000</w:t>
            </w:r>
          </w:p>
        </w:tc>
      </w:tr>
      <w:tr>
        <w:tblPrEx>
          <w:tblCellMar>
            <w:top w:w="0" w:type="dxa"/>
            <w:left w:w="0" w:type="dxa"/>
            <w:bottom w:w="0" w:type="dxa"/>
            <w:right w:w="0" w:type="dxa"/>
          </w:tblCellMar>
        </w:tblPrEx>
        <w:trPr>
          <w:trHeight w:val="72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4</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kern w:val="0"/>
                <w:sz w:val="21"/>
                <w:szCs w:val="21"/>
              </w:rPr>
            </w:pPr>
            <w:r>
              <w:rPr>
                <w:rFonts w:hint="eastAsia"/>
                <w:kern w:val="0"/>
                <w:sz w:val="21"/>
                <w:szCs w:val="21"/>
              </w:rPr>
              <w:t>城乡供气工程</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县城</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新建乡镇燃气管网350公里，新建气化邵阳隆回段长输管网50公里，新建末站、接收门站、储气调峰站、加气站、接收门站、门阀各一座</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50000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50000</w:t>
            </w:r>
          </w:p>
        </w:tc>
      </w:tr>
      <w:tr>
        <w:tblPrEx>
          <w:tblCellMar>
            <w:top w:w="0" w:type="dxa"/>
            <w:left w:w="0" w:type="dxa"/>
            <w:bottom w:w="0" w:type="dxa"/>
            <w:right w:w="0" w:type="dxa"/>
          </w:tblCellMar>
        </w:tblPrEx>
        <w:trPr>
          <w:trHeight w:val="358"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5</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kern w:val="0"/>
                <w:sz w:val="21"/>
                <w:szCs w:val="21"/>
              </w:rPr>
            </w:pPr>
            <w:r>
              <w:rPr>
                <w:rFonts w:hint="eastAsia"/>
                <w:kern w:val="0"/>
                <w:sz w:val="21"/>
                <w:szCs w:val="21"/>
              </w:rPr>
              <w:t>城市防水排涝设施</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县城</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完成城市排水专项规划编、城市排水防涝综合规划的修编，新建城西片区、城东片区、城北片区和城南片区污水管网100KM，建成G320国道环城南路三八水库排水箱涵工程、金门安置区白毛冲水库排水工程、荷叶塘水库防洪排涝工程，对老城区现有的76.73KM排水管网进行清淤，同时对朝阳路片区、大院里片区、汽车总站片区的6KM排水管网进行提质改造</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36000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36000</w:t>
            </w:r>
          </w:p>
        </w:tc>
      </w:tr>
      <w:tr>
        <w:tblPrEx>
          <w:tblCellMar>
            <w:top w:w="0" w:type="dxa"/>
            <w:left w:w="0" w:type="dxa"/>
            <w:bottom w:w="0" w:type="dxa"/>
            <w:right w:w="0" w:type="dxa"/>
          </w:tblCellMar>
        </w:tblPrEx>
        <w:trPr>
          <w:trHeight w:val="38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6</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kern w:val="0"/>
                <w:sz w:val="21"/>
                <w:szCs w:val="21"/>
              </w:rPr>
            </w:pPr>
            <w:r>
              <w:rPr>
                <w:rFonts w:hint="eastAsia"/>
                <w:kern w:val="0"/>
                <w:sz w:val="21"/>
                <w:szCs w:val="21"/>
              </w:rPr>
              <w:t>城市亮化景观工程</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县城</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完成城市照明专项规划编制，实施道路路灯节能改造，对城市主次道路路灯由钠灯、金卤灯改造成为绿色节能的LED灯，建设城区亮化夜景及公园、一江两岸、地标性建筑等重要节点亮化景观建设，建成路灯智能控制系统</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25000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25000</w:t>
            </w:r>
          </w:p>
        </w:tc>
      </w:tr>
      <w:tr>
        <w:tblPrEx>
          <w:tblCellMar>
            <w:top w:w="0" w:type="dxa"/>
            <w:left w:w="0" w:type="dxa"/>
            <w:bottom w:w="0" w:type="dxa"/>
            <w:right w:w="0" w:type="dxa"/>
          </w:tblCellMar>
        </w:tblPrEx>
        <w:trPr>
          <w:trHeight w:val="72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7</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kern w:val="0"/>
                <w:sz w:val="21"/>
                <w:szCs w:val="21"/>
              </w:rPr>
            </w:pPr>
            <w:r>
              <w:rPr>
                <w:rFonts w:hint="eastAsia"/>
                <w:kern w:val="0"/>
                <w:sz w:val="21"/>
                <w:szCs w:val="21"/>
              </w:rPr>
              <w:t>城市综合停车场项目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县城</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在城东城中、城西建设4处立体停车场，建筑面积30000平米，新增县城停车位2000个，同时配套建设服务站、加油站、充气桩等综合服务设施</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30000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30000</w:t>
            </w:r>
          </w:p>
        </w:tc>
      </w:tr>
      <w:tr>
        <w:tblPrEx>
          <w:tblCellMar>
            <w:top w:w="0" w:type="dxa"/>
            <w:left w:w="0" w:type="dxa"/>
            <w:bottom w:w="0" w:type="dxa"/>
            <w:right w:w="0" w:type="dxa"/>
          </w:tblCellMar>
        </w:tblPrEx>
        <w:trPr>
          <w:trHeight w:val="472"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8</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kern w:val="0"/>
                <w:sz w:val="21"/>
                <w:szCs w:val="21"/>
              </w:rPr>
            </w:pPr>
            <w:r>
              <w:rPr>
                <w:rFonts w:hint="eastAsia"/>
                <w:kern w:val="0"/>
                <w:sz w:val="21"/>
                <w:szCs w:val="21"/>
              </w:rPr>
              <w:t>城市综合管廊项目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县城</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在老城区、城北新城新建设地下综合管廊，综合管廊总长5公里</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50000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50000</w:t>
            </w:r>
          </w:p>
        </w:tc>
      </w:tr>
      <w:tr>
        <w:tblPrEx>
          <w:tblCellMar>
            <w:top w:w="0" w:type="dxa"/>
            <w:left w:w="0" w:type="dxa"/>
            <w:bottom w:w="0" w:type="dxa"/>
            <w:right w:w="0" w:type="dxa"/>
          </w:tblCellMar>
        </w:tblPrEx>
        <w:trPr>
          <w:trHeight w:val="355" w:hRule="atLeast"/>
        </w:trPr>
        <w:tc>
          <w:tcPr>
            <w:tcW w:w="232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kern w:val="0"/>
                <w:sz w:val="21"/>
                <w:szCs w:val="21"/>
              </w:rPr>
            </w:pPr>
            <w:r>
              <w:rPr>
                <w:rFonts w:hint="eastAsia"/>
                <w:b/>
                <w:bCs/>
                <w:kern w:val="0"/>
                <w:sz w:val="21"/>
                <w:szCs w:val="21"/>
              </w:rPr>
              <w:t>（二）民生保障工程</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191000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191000</w:t>
            </w:r>
          </w:p>
        </w:tc>
      </w:tr>
      <w:tr>
        <w:tblPrEx>
          <w:tblCellMar>
            <w:top w:w="0" w:type="dxa"/>
            <w:left w:w="0" w:type="dxa"/>
            <w:bottom w:w="0" w:type="dxa"/>
            <w:right w:w="0" w:type="dxa"/>
          </w:tblCellMar>
        </w:tblPrEx>
        <w:trPr>
          <w:trHeight w:val="72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9</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保障性安居工程项目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县城</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完成城北（大花）棚户区改造项目第Ⅰ、Ⅱ期级配套基础设施建设项目总建筑面积122647平米，见安置房633套，同时配套建成商业、给排水、电力线路、道路、绿化亮化等附属设施</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78500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78500</w:t>
            </w:r>
          </w:p>
        </w:tc>
      </w:tr>
      <w:tr>
        <w:tblPrEx>
          <w:tblCellMar>
            <w:top w:w="0" w:type="dxa"/>
            <w:left w:w="0" w:type="dxa"/>
            <w:bottom w:w="0" w:type="dxa"/>
            <w:right w:w="0" w:type="dxa"/>
          </w:tblCellMar>
        </w:tblPrEx>
        <w:trPr>
          <w:trHeight w:val="72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10</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老旧小区改造及配套基础设施项目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对老旧小区内房屋厨卫进行功能性改造、结构加固，同时对老旧的给排水、电力线路、道路、绿化亮化、电梯等附属配套设施进行提质改造，计划改造总户数5900余户，改造面积570000平米</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187000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187000</w:t>
            </w:r>
          </w:p>
        </w:tc>
      </w:tr>
      <w:tr>
        <w:tblPrEx>
          <w:tblCellMar>
            <w:top w:w="0" w:type="dxa"/>
            <w:left w:w="0" w:type="dxa"/>
            <w:bottom w:w="0" w:type="dxa"/>
            <w:right w:w="0" w:type="dxa"/>
          </w:tblCellMar>
        </w:tblPrEx>
        <w:trPr>
          <w:trHeight w:val="72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11</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棚户区改造及配套基础设施项目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改建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县城</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对城中、城西、城东、城南等棚户区内房屋厨卫进行功能性改造、结构加固，同时对老旧的给排水、电力线路、道路、绿化亮化、电梯等附属配套设施进行提质改造，计划改造总户数1800余户，改造面积约14400平米</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92000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92000</w:t>
            </w:r>
          </w:p>
        </w:tc>
      </w:tr>
      <w:tr>
        <w:tblPrEx>
          <w:tblCellMar>
            <w:top w:w="0" w:type="dxa"/>
            <w:left w:w="0" w:type="dxa"/>
            <w:bottom w:w="0" w:type="dxa"/>
            <w:right w:w="0" w:type="dxa"/>
          </w:tblCellMar>
        </w:tblPrEx>
        <w:trPr>
          <w:trHeight w:val="493" w:hRule="atLeast"/>
        </w:trPr>
        <w:tc>
          <w:tcPr>
            <w:tcW w:w="232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6"/>
              <w:ind w:firstLine="0" w:firstLineChars="0"/>
              <w:rPr>
                <w:kern w:val="0"/>
                <w:sz w:val="21"/>
                <w:szCs w:val="21"/>
              </w:rPr>
            </w:pPr>
            <w:r>
              <w:rPr>
                <w:rFonts w:hint="eastAsia"/>
                <w:kern w:val="0"/>
                <w:sz w:val="21"/>
                <w:szCs w:val="21"/>
              </w:rPr>
              <w:t>（三）环境整治提升工程</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p>
        </w:tc>
      </w:tr>
      <w:tr>
        <w:tblPrEx>
          <w:tblCellMar>
            <w:top w:w="0" w:type="dxa"/>
            <w:left w:w="0" w:type="dxa"/>
            <w:bottom w:w="0" w:type="dxa"/>
            <w:right w:w="0" w:type="dxa"/>
          </w:tblCellMar>
        </w:tblPrEx>
        <w:trPr>
          <w:trHeight w:val="72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12</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kern w:val="0"/>
                <w:sz w:val="21"/>
                <w:szCs w:val="21"/>
              </w:rPr>
            </w:pPr>
            <w:r>
              <w:rPr>
                <w:rFonts w:hint="eastAsia"/>
                <w:kern w:val="0"/>
                <w:sz w:val="21"/>
                <w:szCs w:val="21"/>
              </w:rPr>
              <w:t>城市公园建设项目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县城</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新建三八水库湿地公园、橘子山公园、石头山公园、思源公园、狐狸岛水上乐园五大公园，规划建设梅山文化主题公园，对原有魏源公园、方大公园、芙蓉山公园等三大主题公园进行提质改造，建设赧水河和伏龙江水上风光带。计划新增植树造林、绿化200公顷，新建道路15km、游步道50km，配套建设旅游设施、公共基础设施10000平方米</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40000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40000</w:t>
            </w:r>
          </w:p>
        </w:tc>
      </w:tr>
      <w:tr>
        <w:tblPrEx>
          <w:tblCellMar>
            <w:top w:w="0" w:type="dxa"/>
            <w:left w:w="0" w:type="dxa"/>
            <w:bottom w:w="0" w:type="dxa"/>
            <w:right w:w="0" w:type="dxa"/>
          </w:tblCellMar>
        </w:tblPrEx>
        <w:trPr>
          <w:trHeight w:val="575"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13</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kern w:val="0"/>
                <w:sz w:val="21"/>
                <w:szCs w:val="21"/>
              </w:rPr>
            </w:pPr>
            <w:r>
              <w:rPr>
                <w:rFonts w:hint="eastAsia"/>
                <w:kern w:val="0"/>
                <w:sz w:val="21"/>
                <w:szCs w:val="21"/>
              </w:rPr>
              <w:t>城乡污水处理</w:t>
            </w:r>
          </w:p>
          <w:p>
            <w:pPr>
              <w:widowControl/>
              <w:spacing w:line="280" w:lineRule="exact"/>
              <w:ind w:firstLine="0" w:firstLineChars="0"/>
              <w:jc w:val="left"/>
              <w:textAlignment w:val="center"/>
              <w:rPr>
                <w:kern w:val="0"/>
                <w:sz w:val="21"/>
                <w:szCs w:val="21"/>
              </w:rPr>
            </w:pPr>
            <w:r>
              <w:rPr>
                <w:rFonts w:hint="eastAsia"/>
                <w:kern w:val="0"/>
                <w:sz w:val="21"/>
                <w:szCs w:val="21"/>
              </w:rPr>
              <w:t>设施建设项目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城乡</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建成高平、司门前、七江、羊古坳、岩口、西洋江、横板桥、南岳庙、荷香桥、三阁司、周旺、罗洪、鸭田等13个建制镇污水处理设施，建设500-3000吨规模的乡镇污水处理厂13座，建筑面积35000平米，同时配套污水管网180公里，全县乡镇污水处理规模达到7000吨/日；对县城生活污水处理厂进行提质改造，排放标准由原来的一级B提升至一级A，在城西建成日处理污水量30000吨规模的污水处理厂，配套城西污水管网40公里，县城日处理污水能力达到60000吨，届时，全县城乡污水日处理能力总规模达到13万吨</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65000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65000</w:t>
            </w:r>
          </w:p>
        </w:tc>
      </w:tr>
      <w:tr>
        <w:tblPrEx>
          <w:tblCellMar>
            <w:top w:w="0" w:type="dxa"/>
            <w:left w:w="0" w:type="dxa"/>
            <w:bottom w:w="0" w:type="dxa"/>
            <w:right w:w="0" w:type="dxa"/>
          </w:tblCellMar>
        </w:tblPrEx>
        <w:trPr>
          <w:trHeight w:val="72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14</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kern w:val="0"/>
                <w:sz w:val="21"/>
                <w:szCs w:val="21"/>
              </w:rPr>
            </w:pPr>
            <w:r>
              <w:rPr>
                <w:rFonts w:hint="eastAsia"/>
                <w:kern w:val="0"/>
                <w:sz w:val="21"/>
                <w:szCs w:val="21"/>
              </w:rPr>
              <w:t>城乡垃圾分拣</w:t>
            </w:r>
          </w:p>
          <w:p>
            <w:pPr>
              <w:widowControl/>
              <w:spacing w:line="280" w:lineRule="exact"/>
              <w:ind w:firstLine="0" w:firstLineChars="0"/>
              <w:jc w:val="left"/>
              <w:textAlignment w:val="center"/>
              <w:rPr>
                <w:kern w:val="0"/>
                <w:sz w:val="21"/>
                <w:szCs w:val="21"/>
              </w:rPr>
            </w:pPr>
            <w:r>
              <w:rPr>
                <w:rFonts w:hint="eastAsia"/>
                <w:kern w:val="0"/>
                <w:sz w:val="21"/>
                <w:szCs w:val="21"/>
              </w:rPr>
              <w:t>处理项目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城乡</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新建垃圾分拣中心23处，总建筑面积15000平米；建设生活垃圾无害化全资源处理厂，建筑面积10000平米；全面建成城乡垃圾清扫系统、城乡垃圾转运系统、生活垃圾无害化全资源处理系统</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28000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28000</w:t>
            </w:r>
          </w:p>
        </w:tc>
      </w:tr>
      <w:tr>
        <w:tblPrEx>
          <w:tblCellMar>
            <w:top w:w="0" w:type="dxa"/>
            <w:left w:w="0" w:type="dxa"/>
            <w:bottom w:w="0" w:type="dxa"/>
            <w:right w:w="0" w:type="dxa"/>
          </w:tblCellMar>
        </w:tblPrEx>
        <w:trPr>
          <w:trHeight w:val="675"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15</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kern w:val="0"/>
                <w:sz w:val="21"/>
                <w:szCs w:val="21"/>
              </w:rPr>
            </w:pPr>
            <w:r>
              <w:rPr>
                <w:rFonts w:hint="eastAsia"/>
                <w:kern w:val="0"/>
                <w:sz w:val="21"/>
                <w:szCs w:val="21"/>
              </w:rPr>
              <w:t>隆回县建筑废弃物资源化综合利用项目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县城</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建设县城建筑垃圾综合利用处理中心，建筑面积15000平米，对于全县建筑垃圾、项目施工垃圾、固体废弃物进行全面的资源化利用</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13000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13000</w:t>
            </w:r>
          </w:p>
        </w:tc>
      </w:tr>
      <w:tr>
        <w:tblPrEx>
          <w:tblCellMar>
            <w:top w:w="0" w:type="dxa"/>
            <w:left w:w="0" w:type="dxa"/>
            <w:bottom w:w="0" w:type="dxa"/>
            <w:right w:w="0" w:type="dxa"/>
          </w:tblCellMar>
        </w:tblPrEx>
        <w:trPr>
          <w:trHeight w:val="72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16</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kern w:val="0"/>
                <w:sz w:val="21"/>
                <w:szCs w:val="21"/>
              </w:rPr>
            </w:pPr>
            <w:r>
              <w:rPr>
                <w:rFonts w:hint="eastAsia"/>
                <w:kern w:val="0"/>
                <w:sz w:val="21"/>
                <w:szCs w:val="21"/>
              </w:rPr>
              <w:t>县城黑臭水体整治项目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县城</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重点对县城伏龙江、辰河、三八水库、荷叶塘水库等黑臭水体综合治理，进行截污、分流、净化处理</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20000</w:t>
            </w:r>
          </w:p>
        </w:tc>
      </w:tr>
      <w:tr>
        <w:tblPrEx>
          <w:tblCellMar>
            <w:top w:w="0" w:type="dxa"/>
            <w:left w:w="0" w:type="dxa"/>
            <w:bottom w:w="0" w:type="dxa"/>
            <w:right w:w="0" w:type="dxa"/>
          </w:tblCellMar>
        </w:tblPrEx>
        <w:trPr>
          <w:trHeight w:val="72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17</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kern w:val="0"/>
                <w:sz w:val="21"/>
                <w:szCs w:val="21"/>
              </w:rPr>
            </w:pPr>
            <w:r>
              <w:rPr>
                <w:rFonts w:hint="eastAsia"/>
                <w:kern w:val="0"/>
                <w:sz w:val="21"/>
                <w:szCs w:val="21"/>
              </w:rPr>
              <w:t>森林城市创建项目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kern w:val="0"/>
                <w:sz w:val="21"/>
                <w:szCs w:val="21"/>
              </w:rPr>
            </w:pPr>
            <w:r>
              <w:rPr>
                <w:rFonts w:hint="eastAsia"/>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县城</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kern w:val="0"/>
                <w:sz w:val="21"/>
                <w:szCs w:val="21"/>
              </w:rPr>
            </w:pPr>
            <w:r>
              <w:rPr>
                <w:rFonts w:hint="eastAsia"/>
                <w:kern w:val="0"/>
                <w:sz w:val="21"/>
                <w:szCs w:val="21"/>
              </w:rPr>
              <w:t>建设狐狸岛-猫头岩-横江古渡口-桃花坪老码头-黄花州赧水沿江风光带，规划建设寺山-南松-白竹-五里牌-石马村伏龙江沿河水风光带，新建县城绿色立体廊道50公里。</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25000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25000</w:t>
            </w:r>
          </w:p>
        </w:tc>
      </w:tr>
      <w:tr>
        <w:tblPrEx>
          <w:tblCellMar>
            <w:top w:w="0" w:type="dxa"/>
            <w:left w:w="0" w:type="dxa"/>
            <w:bottom w:w="0" w:type="dxa"/>
            <w:right w:w="0" w:type="dxa"/>
          </w:tblCellMar>
        </w:tblPrEx>
        <w:trPr>
          <w:trHeight w:val="90" w:hRule="atLeast"/>
        </w:trPr>
        <w:tc>
          <w:tcPr>
            <w:tcW w:w="232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sz w:val="21"/>
                <w:szCs w:val="21"/>
              </w:rPr>
            </w:pPr>
            <w:r>
              <w:rPr>
                <w:rFonts w:hint="eastAsia"/>
                <w:b/>
                <w:kern w:val="0"/>
                <w:sz w:val="21"/>
                <w:szCs w:val="21"/>
              </w:rPr>
              <w:t>（四）景区建设工程</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rPr>
                <w:sz w:val="21"/>
                <w:szCs w:val="21"/>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rPr>
                <w:sz w:val="21"/>
                <w:szCs w:val="21"/>
              </w:rPr>
            </w:pP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rPr>
                <w:sz w:val="21"/>
                <w:szCs w:val="21"/>
              </w:rPr>
            </w:pP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rPr>
                <w:sz w:val="21"/>
                <w:szCs w:val="21"/>
              </w:rPr>
            </w:pP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rPr>
                <w:sz w:val="21"/>
                <w:szCs w:val="21"/>
              </w:rPr>
            </w:pP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rPr>
                <w:sz w:val="21"/>
                <w:szCs w:val="21"/>
              </w:rPr>
            </w:pPr>
            <w:r>
              <w:rPr>
                <w:rFonts w:hint="eastAsia"/>
                <w:sz w:val="21"/>
                <w:szCs w:val="21"/>
              </w:rPr>
              <w:t>180420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rPr>
                <w:sz w:val="21"/>
                <w:szCs w:val="21"/>
              </w:rPr>
            </w:pPr>
            <w:r>
              <w:rPr>
                <w:rFonts w:hint="eastAsia"/>
                <w:sz w:val="21"/>
                <w:szCs w:val="21"/>
              </w:rPr>
              <w:t>1152500</w:t>
            </w:r>
          </w:p>
        </w:tc>
      </w:tr>
      <w:tr>
        <w:tblPrEx>
          <w:tblCellMar>
            <w:top w:w="0" w:type="dxa"/>
            <w:left w:w="0" w:type="dxa"/>
            <w:bottom w:w="0" w:type="dxa"/>
            <w:right w:w="0" w:type="dxa"/>
          </w:tblCellMar>
        </w:tblPrEx>
        <w:trPr>
          <w:trHeight w:val="1135"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textAlignment w:val="center"/>
              <w:rPr>
                <w:sz w:val="21"/>
                <w:szCs w:val="21"/>
              </w:rPr>
            </w:pPr>
            <w:r>
              <w:rPr>
                <w:rFonts w:hint="eastAsia"/>
                <w:kern w:val="0"/>
                <w:sz w:val="21"/>
                <w:szCs w:val="21"/>
              </w:rPr>
              <w:t>18</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left"/>
              <w:textAlignment w:val="center"/>
              <w:rPr>
                <w:sz w:val="21"/>
                <w:szCs w:val="21"/>
              </w:rPr>
            </w:pPr>
            <w:r>
              <w:rPr>
                <w:kern w:val="0"/>
                <w:sz w:val="21"/>
                <w:szCs w:val="21"/>
              </w:rPr>
              <w:t>隆回县森林康养城乡一体化基地建设项目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textAlignment w:val="center"/>
              <w:rPr>
                <w:sz w:val="21"/>
                <w:szCs w:val="21"/>
              </w:rPr>
            </w:pPr>
            <w:r>
              <w:rPr>
                <w:kern w:val="0"/>
                <w:sz w:val="21"/>
                <w:szCs w:val="21"/>
              </w:rPr>
              <w:t>白马山林场、望云山林场</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textAlignment w:val="center"/>
              <w:rPr>
                <w:sz w:val="21"/>
                <w:szCs w:val="21"/>
              </w:rPr>
            </w:pPr>
            <w:r>
              <w:rPr>
                <w:kern w:val="0"/>
                <w:sz w:val="21"/>
                <w:szCs w:val="21"/>
              </w:rPr>
              <w:t>基地包括管理服务区 43.5公顷，核心景观区359.1公顷，一般游憩区3002.9公顷，生态保育区 322.8公顷，主要建设内容为大门、游客接待中心、滑雪场、绳索公园、珍稀树种基地、高山平湖、森林宾馆等森林康养功能区。</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textAlignment w:val="center"/>
              <w:rPr>
                <w:sz w:val="21"/>
                <w:szCs w:val="21"/>
              </w:rPr>
            </w:pPr>
            <w:r>
              <w:rPr>
                <w:kern w:val="0"/>
                <w:sz w:val="21"/>
                <w:szCs w:val="21"/>
              </w:rPr>
              <w:t>50000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50000</w:t>
            </w:r>
          </w:p>
        </w:tc>
      </w:tr>
      <w:tr>
        <w:tblPrEx>
          <w:tblCellMar>
            <w:top w:w="0" w:type="dxa"/>
            <w:left w:w="0" w:type="dxa"/>
            <w:bottom w:w="0" w:type="dxa"/>
            <w:right w:w="0" w:type="dxa"/>
          </w:tblCellMar>
        </w:tblPrEx>
        <w:trPr>
          <w:trHeight w:val="48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textAlignment w:val="center"/>
              <w:rPr>
                <w:sz w:val="21"/>
                <w:szCs w:val="21"/>
              </w:rPr>
            </w:pPr>
            <w:r>
              <w:rPr>
                <w:rFonts w:hint="eastAsia"/>
                <w:kern w:val="0"/>
                <w:sz w:val="21"/>
                <w:szCs w:val="21"/>
              </w:rPr>
              <w:t>19</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left"/>
              <w:textAlignment w:val="center"/>
              <w:rPr>
                <w:sz w:val="21"/>
                <w:szCs w:val="21"/>
              </w:rPr>
            </w:pPr>
            <w:r>
              <w:rPr>
                <w:kern w:val="0"/>
                <w:sz w:val="21"/>
                <w:szCs w:val="21"/>
              </w:rPr>
              <w:t>隆回魏源湖国家湿地公园生态文化旅游融合建设项目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textAlignment w:val="center"/>
              <w:rPr>
                <w:sz w:val="21"/>
                <w:szCs w:val="21"/>
              </w:rPr>
            </w:pPr>
            <w:r>
              <w:rPr>
                <w:kern w:val="0"/>
                <w:sz w:val="21"/>
                <w:szCs w:val="21"/>
              </w:rPr>
              <w:t>魏源湖国家湿地公园</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textAlignment w:val="center"/>
              <w:rPr>
                <w:sz w:val="21"/>
                <w:szCs w:val="21"/>
              </w:rPr>
            </w:pPr>
            <w:r>
              <w:rPr>
                <w:kern w:val="0"/>
                <w:sz w:val="21"/>
                <w:szCs w:val="21"/>
              </w:rPr>
              <w:t>公园包括保护保育区439.2公顷，宣教展示区18.3公顷，生态文化及旅游休闲功能区14.3公顷，主要建设内容为湿地保护、湿地恢复、科普宣教、科研监测、合理利用、基础设施、旅游休闲等工程。</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textAlignment w:val="center"/>
              <w:rPr>
                <w:sz w:val="21"/>
                <w:szCs w:val="21"/>
              </w:rPr>
            </w:pPr>
            <w:r>
              <w:rPr>
                <w:kern w:val="0"/>
                <w:sz w:val="21"/>
                <w:szCs w:val="21"/>
              </w:rPr>
              <w:t>10500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10500</w:t>
            </w:r>
          </w:p>
        </w:tc>
      </w:tr>
      <w:tr>
        <w:tblPrEx>
          <w:tblCellMar>
            <w:top w:w="0" w:type="dxa"/>
            <w:left w:w="0" w:type="dxa"/>
            <w:bottom w:w="0" w:type="dxa"/>
            <w:right w:w="0" w:type="dxa"/>
          </w:tblCellMar>
        </w:tblPrEx>
        <w:trPr>
          <w:trHeight w:val="72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kern w:val="0"/>
                <w:sz w:val="21"/>
                <w:szCs w:val="21"/>
              </w:rPr>
              <w:t>20</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隆回县虎形山花瑶5A景区建设项目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建设花瑶传统民俗展览、体验馆1个，国家级非物质文化遗产花瑶挑花传习馆1个，文艺演出中心1个，自然院落花瑶女儿箱物品、花瑶手工艺品展示长廊10条，省保单位崇木凼古树林保护工程，旅游公路、生态停车场、旅游厕所等基础设施建设，美丽乡村相关配套设施包括垃圾处理站、绿化带、风光带建设，各农户家庭垃圾分类设施、厕所改造，旅游标识等。大花瑶-虎形山景区修缮项目，争取大花瑶-虎形山景区在2021年建成4A级景区，2025年实现5A景区和国家级山地旅游度假区创建。</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100000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100000</w:t>
            </w:r>
          </w:p>
        </w:tc>
      </w:tr>
      <w:tr>
        <w:tblPrEx>
          <w:tblCellMar>
            <w:top w:w="0" w:type="dxa"/>
            <w:left w:w="0" w:type="dxa"/>
            <w:bottom w:w="0" w:type="dxa"/>
            <w:right w:w="0" w:type="dxa"/>
          </w:tblCellMar>
        </w:tblPrEx>
        <w:trPr>
          <w:trHeight w:val="811"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kern w:val="0"/>
                <w:sz w:val="21"/>
                <w:szCs w:val="21"/>
              </w:rPr>
              <w:t>21</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隆回县长征主题纪念设施和遗址保护利用建设项目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改扩建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主要包括长征文化公园、鸭田红军战斗纪念园、红军长征学校、其他长征遗迹保护。</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100000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100000</w:t>
            </w:r>
          </w:p>
        </w:tc>
      </w:tr>
      <w:tr>
        <w:tblPrEx>
          <w:tblCellMar>
            <w:top w:w="0" w:type="dxa"/>
            <w:left w:w="0" w:type="dxa"/>
            <w:bottom w:w="0" w:type="dxa"/>
            <w:right w:w="0" w:type="dxa"/>
          </w:tblCellMar>
        </w:tblPrEx>
        <w:trPr>
          <w:trHeight w:val="744"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kern w:val="0"/>
                <w:sz w:val="21"/>
                <w:szCs w:val="21"/>
              </w:rPr>
              <w:t>22</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隆回九龙山生态旅游综合开发项目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岩口镇</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建设内容包括九龙山旅游综合开发、岩口溶洞、滩头纸文化博艺园、游客服务中心，宾馆、停车场，水电通讯安全环卫设施配套和旅游标识系统。</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20000</w:t>
            </w:r>
          </w:p>
        </w:tc>
      </w:tr>
      <w:tr>
        <w:tblPrEx>
          <w:tblCellMar>
            <w:top w:w="0" w:type="dxa"/>
            <w:left w:w="0" w:type="dxa"/>
            <w:bottom w:w="0" w:type="dxa"/>
            <w:right w:w="0" w:type="dxa"/>
          </w:tblCellMar>
        </w:tblPrEx>
        <w:trPr>
          <w:trHeight w:val="96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kern w:val="0"/>
                <w:sz w:val="21"/>
                <w:szCs w:val="21"/>
              </w:rPr>
              <w:t>23</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隆回县红色旅游基地建设项目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依托国家长征公园、魏源故居、贺龙战斗指挥所，欧阳秋曝烈士墓、抗日将士墓，地下支部、彭述之，谭人凤故居、袁吉六墓、邹汉勋故居等红色旅游资源，建设隆回县红色旅游基地。</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10000</w:t>
            </w:r>
          </w:p>
        </w:tc>
      </w:tr>
      <w:tr>
        <w:tblPrEx>
          <w:tblCellMar>
            <w:top w:w="0" w:type="dxa"/>
            <w:left w:w="0" w:type="dxa"/>
            <w:bottom w:w="0" w:type="dxa"/>
            <w:right w:w="0" w:type="dxa"/>
          </w:tblCellMar>
        </w:tblPrEx>
        <w:trPr>
          <w:trHeight w:val="72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kern w:val="0"/>
                <w:sz w:val="21"/>
                <w:szCs w:val="21"/>
              </w:rPr>
              <w:t>24</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隆回县十里花溪文化长廊建设项目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伏龙江“十里花溪”文化长廊旨在借鉴南京秦淮河等经验做法，体现闹中取静，突出景观性和功能性的融合，将生态、社会和经济效益融合起来，在保持自然风貌的前提下，打造山、水、田、林、湖等生态共同体。</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2020</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2023</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100000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100000</w:t>
            </w:r>
          </w:p>
        </w:tc>
      </w:tr>
      <w:tr>
        <w:tblPrEx>
          <w:tblCellMar>
            <w:top w:w="0" w:type="dxa"/>
            <w:left w:w="0" w:type="dxa"/>
            <w:bottom w:w="0" w:type="dxa"/>
            <w:right w:w="0" w:type="dxa"/>
          </w:tblCellMar>
        </w:tblPrEx>
        <w:trPr>
          <w:trHeight w:val="48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sz w:val="21"/>
                <w:szCs w:val="21"/>
              </w:rPr>
              <w:t>25</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隆回县县城旅游服务中心建设项目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围绕吃、住、行、游、购、娱这六大要素的市场功能，融商业、旅游为一体，建设宾馆，旅游管理服务中心，旅游商品展销中心，停车场，游客集散中心。规划建设占地面积为200亩，年接待中外宾客10万人次。</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11000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11000</w:t>
            </w:r>
          </w:p>
        </w:tc>
      </w:tr>
      <w:tr>
        <w:tblPrEx>
          <w:tblCellMar>
            <w:top w:w="0" w:type="dxa"/>
            <w:left w:w="0" w:type="dxa"/>
            <w:bottom w:w="0" w:type="dxa"/>
            <w:right w:w="0" w:type="dxa"/>
          </w:tblCellMar>
        </w:tblPrEx>
        <w:trPr>
          <w:trHeight w:val="48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kern w:val="0"/>
                <w:sz w:val="21"/>
                <w:szCs w:val="21"/>
              </w:rPr>
              <w:t>26</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隆回县高洲温泉提质改造项目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改扩建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kern w:val="0"/>
                <w:sz w:val="21"/>
                <w:szCs w:val="21"/>
              </w:rPr>
            </w:pPr>
            <w:r>
              <w:rPr>
                <w:kern w:val="0"/>
                <w:sz w:val="21"/>
                <w:szCs w:val="21"/>
              </w:rPr>
              <w:t>金石</w:t>
            </w:r>
          </w:p>
          <w:p>
            <w:pPr>
              <w:widowControl/>
              <w:spacing w:line="300" w:lineRule="exact"/>
              <w:ind w:firstLine="0" w:firstLineChars="0"/>
              <w:textAlignment w:val="center"/>
              <w:rPr>
                <w:sz w:val="21"/>
                <w:szCs w:val="21"/>
              </w:rPr>
            </w:pPr>
            <w:r>
              <w:rPr>
                <w:kern w:val="0"/>
                <w:sz w:val="21"/>
                <w:szCs w:val="21"/>
              </w:rPr>
              <w:t>桥镇</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建设娱乐、休闲、养生、度假于一体温泉小镇。包括酒店提质改造，新建健康养生区谷、风情特色商业街、农事体验区、商贸物流城。</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45000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45000</w:t>
            </w:r>
          </w:p>
        </w:tc>
      </w:tr>
      <w:tr>
        <w:tblPrEx>
          <w:tblCellMar>
            <w:top w:w="0" w:type="dxa"/>
            <w:left w:w="0" w:type="dxa"/>
            <w:bottom w:w="0" w:type="dxa"/>
            <w:right w:w="0" w:type="dxa"/>
          </w:tblCellMar>
        </w:tblPrEx>
        <w:trPr>
          <w:trHeight w:val="705"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kern w:val="0"/>
                <w:sz w:val="21"/>
                <w:szCs w:val="21"/>
              </w:rPr>
              <w:t>27</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魏源文化园</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改扩建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kern w:val="0"/>
                <w:sz w:val="21"/>
                <w:szCs w:val="21"/>
              </w:rPr>
            </w:pPr>
            <w:r>
              <w:rPr>
                <w:kern w:val="0"/>
                <w:sz w:val="21"/>
                <w:szCs w:val="21"/>
              </w:rPr>
              <w:t>司门</w:t>
            </w:r>
          </w:p>
          <w:p>
            <w:pPr>
              <w:widowControl/>
              <w:spacing w:line="300" w:lineRule="exact"/>
              <w:ind w:firstLine="0" w:firstLineChars="0"/>
              <w:textAlignment w:val="center"/>
              <w:rPr>
                <w:sz w:val="21"/>
                <w:szCs w:val="21"/>
              </w:rPr>
            </w:pPr>
            <w:r>
              <w:rPr>
                <w:kern w:val="0"/>
                <w:sz w:val="21"/>
                <w:szCs w:val="21"/>
              </w:rPr>
              <w:t>前镇</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魏源故居创4Ａ，魏源温泉提质改造、文化景点建设、文物维修。</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10000</w:t>
            </w:r>
          </w:p>
        </w:tc>
      </w:tr>
      <w:tr>
        <w:tblPrEx>
          <w:tblCellMar>
            <w:top w:w="0" w:type="dxa"/>
            <w:left w:w="0" w:type="dxa"/>
            <w:bottom w:w="0" w:type="dxa"/>
            <w:right w:w="0" w:type="dxa"/>
          </w:tblCellMar>
        </w:tblPrEx>
        <w:trPr>
          <w:trHeight w:val="631"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kern w:val="0"/>
                <w:sz w:val="21"/>
                <w:szCs w:val="21"/>
              </w:rPr>
              <w:t>28</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向家村乡村（4A）旅游开发项目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岩口镇</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建设牛天岭景区、樱花岛、太阳湖水上乐园、山地车赛道、自行车赛道及农家乐等。</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10000</w:t>
            </w:r>
          </w:p>
        </w:tc>
      </w:tr>
      <w:tr>
        <w:tblPrEx>
          <w:tblCellMar>
            <w:top w:w="0" w:type="dxa"/>
            <w:left w:w="0" w:type="dxa"/>
            <w:bottom w:w="0" w:type="dxa"/>
            <w:right w:w="0" w:type="dxa"/>
          </w:tblCellMar>
        </w:tblPrEx>
        <w:trPr>
          <w:trHeight w:val="982"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29</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kern w:val="0"/>
                <w:sz w:val="21"/>
                <w:szCs w:val="21"/>
              </w:rPr>
            </w:pPr>
            <w:r>
              <w:rPr>
                <w:rFonts w:hint="eastAsia"/>
                <w:kern w:val="0"/>
                <w:sz w:val="21"/>
                <w:szCs w:val="21"/>
              </w:rPr>
              <w:t>大东山药王谷风景区建设项目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kern w:val="0"/>
                <w:sz w:val="21"/>
                <w:szCs w:val="21"/>
              </w:rPr>
            </w:pPr>
            <w:r>
              <w:rPr>
                <w:rFonts w:hint="eastAsia"/>
                <w:kern w:val="0"/>
                <w:sz w:val="21"/>
                <w:szCs w:val="21"/>
              </w:rPr>
              <w:t>六都寨镇</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kern w:val="0"/>
                <w:sz w:val="21"/>
                <w:szCs w:val="21"/>
              </w:rPr>
            </w:pPr>
            <w:r>
              <w:rPr>
                <w:rFonts w:hint="eastAsia"/>
                <w:kern w:val="0"/>
                <w:sz w:val="21"/>
                <w:szCs w:val="21"/>
              </w:rPr>
              <w:t>建设大东山药王谷景区游客服务中心、农耕文化观摩演绎中心、妙真堂本土中草药康养体验中心、旅游公路、山地游步道、登山游步道、接待中心、生态停车场、标牌标识、旅游厕所、观景平台等忧虑基础设施。</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10000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10000</w:t>
            </w:r>
          </w:p>
        </w:tc>
      </w:tr>
      <w:tr>
        <w:tblPrEx>
          <w:tblCellMar>
            <w:top w:w="0" w:type="dxa"/>
            <w:left w:w="0" w:type="dxa"/>
            <w:bottom w:w="0" w:type="dxa"/>
            <w:right w:w="0" w:type="dxa"/>
          </w:tblCellMar>
        </w:tblPrEx>
        <w:trPr>
          <w:trHeight w:val="1202"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kern w:val="0"/>
                <w:sz w:val="21"/>
                <w:szCs w:val="21"/>
              </w:rPr>
              <w:t>30</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八仙潭旅游开发建设项目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北山镇</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在五年内将隆回八仙潭露营港打造为国家AAAA级旅游景区，核心景点包括沙滩浴场、民俗文化广场、移动木屋营地、豪华帐篷营地、临水休闲船屋、花卉博览园、游船、水上宾馆、田园综合体、星空树屋、旅游商品加工等。</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20000</w:t>
            </w:r>
          </w:p>
        </w:tc>
      </w:tr>
      <w:tr>
        <w:tblPrEx>
          <w:tblCellMar>
            <w:top w:w="0" w:type="dxa"/>
            <w:left w:w="0" w:type="dxa"/>
            <w:bottom w:w="0" w:type="dxa"/>
            <w:right w:w="0" w:type="dxa"/>
          </w:tblCellMar>
        </w:tblPrEx>
        <w:trPr>
          <w:trHeight w:val="72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rFonts w:hint="eastAsia"/>
                <w:kern w:val="0"/>
                <w:sz w:val="21"/>
                <w:szCs w:val="21"/>
              </w:rPr>
              <w:t>31</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sz w:val="21"/>
                <w:szCs w:val="21"/>
              </w:rPr>
            </w:pPr>
            <w:r>
              <w:rPr>
                <w:kern w:val="0"/>
                <w:sz w:val="21"/>
                <w:szCs w:val="21"/>
              </w:rPr>
              <w:t>狐狸岛综合开发建设项目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改扩建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sz w:val="21"/>
                <w:szCs w:val="21"/>
              </w:rPr>
            </w:pPr>
            <w:r>
              <w:rPr>
                <w:kern w:val="0"/>
                <w:sz w:val="21"/>
                <w:szCs w:val="21"/>
              </w:rPr>
              <w:t>南岳庙镇</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sz w:val="21"/>
                <w:szCs w:val="21"/>
              </w:rPr>
            </w:pPr>
            <w:r>
              <w:rPr>
                <w:kern w:val="0"/>
                <w:sz w:val="21"/>
                <w:szCs w:val="21"/>
              </w:rPr>
              <w:t>开发范围主要包括狐狸岛整个岛屿及周边区域（含滩涂、水域），项目内容主要包括观光休闲、水上游乐、会议度假、生态农业、旅游商品加工等。</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18000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18000</w:t>
            </w:r>
          </w:p>
        </w:tc>
      </w:tr>
      <w:tr>
        <w:tblPrEx>
          <w:tblCellMar>
            <w:top w:w="0" w:type="dxa"/>
            <w:left w:w="0" w:type="dxa"/>
            <w:bottom w:w="0" w:type="dxa"/>
            <w:right w:w="0" w:type="dxa"/>
          </w:tblCellMar>
        </w:tblPrEx>
        <w:trPr>
          <w:trHeight w:val="120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rFonts w:hint="eastAsia"/>
                <w:kern w:val="0"/>
                <w:sz w:val="21"/>
                <w:szCs w:val="21"/>
              </w:rPr>
              <w:t>32</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sz w:val="21"/>
                <w:szCs w:val="21"/>
              </w:rPr>
            </w:pPr>
            <w:r>
              <w:rPr>
                <w:kern w:val="0"/>
                <w:sz w:val="21"/>
                <w:szCs w:val="21"/>
              </w:rPr>
              <w:t>隆回县龙瑶幽谷４Ａ景区建设项目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改扩建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sz w:val="21"/>
                <w:szCs w:val="21"/>
              </w:rPr>
            </w:pPr>
            <w:r>
              <w:rPr>
                <w:kern w:val="0"/>
                <w:sz w:val="21"/>
                <w:szCs w:val="21"/>
              </w:rPr>
              <w:t>小沙江镇</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sz w:val="21"/>
                <w:szCs w:val="21"/>
              </w:rPr>
            </w:pPr>
            <w:r>
              <w:rPr>
                <w:kern w:val="0"/>
                <w:sz w:val="21"/>
                <w:szCs w:val="21"/>
              </w:rPr>
              <w:t>项目总建设面积235000㎡。主要建设内容包括：景区接待中心、次接待中心总建筑面积16000㎡；大野滑草/滑雪：建筑面积为15000㎡；白马婚庆庄园：建设面积为46000㎡；游乐场：建筑面积为12000㎡；康养中心：建筑面积为66000㎡；休闲木屋等其他项目：建筑面积为80000㎡。项目总投资10.6亿元。项目用地3800亩(花卉研发，栽培，种植基地2800亩，生态旅游1000亩)，建设生态旅游设施，年均接待旅客100万人次。</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2016</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106700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50000</w:t>
            </w:r>
          </w:p>
        </w:tc>
      </w:tr>
      <w:tr>
        <w:tblPrEx>
          <w:tblCellMar>
            <w:top w:w="0" w:type="dxa"/>
            <w:left w:w="0" w:type="dxa"/>
            <w:bottom w:w="0" w:type="dxa"/>
            <w:right w:w="0" w:type="dxa"/>
          </w:tblCellMar>
        </w:tblPrEx>
        <w:trPr>
          <w:trHeight w:val="48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rFonts w:hint="eastAsia"/>
                <w:kern w:val="0"/>
                <w:sz w:val="21"/>
                <w:szCs w:val="21"/>
              </w:rPr>
              <w:t>33</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sz w:val="21"/>
                <w:szCs w:val="21"/>
              </w:rPr>
            </w:pPr>
            <w:r>
              <w:rPr>
                <w:kern w:val="0"/>
                <w:sz w:val="21"/>
                <w:szCs w:val="21"/>
              </w:rPr>
              <w:t>大东山综合旅游开发项目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sz w:val="21"/>
                <w:szCs w:val="21"/>
              </w:rPr>
            </w:pPr>
            <w:r>
              <w:rPr>
                <w:kern w:val="0"/>
                <w:sz w:val="21"/>
                <w:szCs w:val="21"/>
              </w:rPr>
              <w:t>六都寨镇</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sz w:val="21"/>
                <w:szCs w:val="21"/>
              </w:rPr>
            </w:pPr>
            <w:r>
              <w:rPr>
                <w:kern w:val="0"/>
                <w:sz w:val="21"/>
                <w:szCs w:val="21"/>
              </w:rPr>
              <w:t>包括景点建设、道路建设、配套设施建设等，纳入大东山国家森林公园(大东山林场)、纳入西洋江镇部分村组。购进飞行器、建设起飞场、建设降落场、建设休闲民宿等。</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2019</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2023</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100000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10000</w:t>
            </w:r>
          </w:p>
        </w:tc>
      </w:tr>
      <w:tr>
        <w:tblPrEx>
          <w:tblCellMar>
            <w:top w:w="0" w:type="dxa"/>
            <w:left w:w="0" w:type="dxa"/>
            <w:bottom w:w="0" w:type="dxa"/>
            <w:right w:w="0" w:type="dxa"/>
          </w:tblCellMar>
        </w:tblPrEx>
        <w:trPr>
          <w:trHeight w:val="1381"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kern w:val="0"/>
                <w:sz w:val="21"/>
                <w:szCs w:val="21"/>
              </w:rPr>
              <w:t>34</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虎形山特色文旅小镇建设项目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虎形山瑶族乡</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按照虎形山国际旅游度假小镇规划用地99公顷，主要建设内容包括：1、特色文旅小镇环乡路建设：2、中心幼儿园、医院、旅游车站、游客接待中心、政务服务中心、农贸市场、民居新街、民俗广场、污水处理厂、消防站等建设项目；3、街道亮化绿化等。</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2020</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13000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8000</w:t>
            </w:r>
          </w:p>
        </w:tc>
      </w:tr>
      <w:tr>
        <w:tblPrEx>
          <w:tblCellMar>
            <w:top w:w="0" w:type="dxa"/>
            <w:left w:w="0" w:type="dxa"/>
            <w:bottom w:w="0" w:type="dxa"/>
            <w:right w:w="0" w:type="dxa"/>
          </w:tblCellMar>
        </w:tblPrEx>
        <w:trPr>
          <w:trHeight w:val="639"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kern w:val="0"/>
                <w:sz w:val="21"/>
                <w:szCs w:val="21"/>
              </w:rPr>
              <w:t>35</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云雾山旅游生态休闲中心建设项目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改扩建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金石桥镇</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计划征地200亩，主要建设内容包括景区道路建设、绿化、亮化及其他配套基础设施改造工程。</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20000</w:t>
            </w:r>
          </w:p>
        </w:tc>
      </w:tr>
      <w:tr>
        <w:tblPrEx>
          <w:tblCellMar>
            <w:top w:w="0" w:type="dxa"/>
            <w:left w:w="0" w:type="dxa"/>
            <w:bottom w:w="0" w:type="dxa"/>
            <w:right w:w="0" w:type="dxa"/>
          </w:tblCellMar>
        </w:tblPrEx>
        <w:trPr>
          <w:trHeight w:val="1599"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rFonts w:hint="eastAsia"/>
                <w:kern w:val="0"/>
                <w:sz w:val="21"/>
                <w:szCs w:val="21"/>
              </w:rPr>
              <w:t>36</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雪峰山山地度假文旅融合示范区</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b/>
                <w:sz w:val="21"/>
                <w:szCs w:val="21"/>
              </w:rPr>
            </w:pPr>
            <w:r>
              <w:rPr>
                <w:kern w:val="0"/>
                <w:sz w:val="21"/>
                <w:szCs w:val="21"/>
              </w:rPr>
              <w:t>隆回县虎形山瑶族乡</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b/>
                <w:sz w:val="21"/>
                <w:szCs w:val="21"/>
              </w:rPr>
            </w:pPr>
            <w:r>
              <w:rPr>
                <w:kern w:val="0"/>
                <w:sz w:val="21"/>
                <w:szCs w:val="21"/>
              </w:rPr>
              <w:t>项目区域总面积30.3km²，由北斗峰山地运动休闲公园、草原村康养度假区、花瑶度假小镇、崇木凼花瑶传统村落等四大旅游板块组成。重点项目主要包括智慧旅游、单轨观光电车、特种游道、度假酒店、冰雪世界、低空飞行、游客中心、石头城堡、花瑶石雕文化广场、石窟酒店、特色住宿、瑶王古寨、崇木凼花瑶传统村落、5D室内剧场等。</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2020</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2030</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1000000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500000</w:t>
            </w:r>
          </w:p>
        </w:tc>
      </w:tr>
      <w:tr>
        <w:tblPrEx>
          <w:tblCellMar>
            <w:top w:w="0" w:type="dxa"/>
            <w:left w:w="0" w:type="dxa"/>
            <w:bottom w:w="0" w:type="dxa"/>
            <w:right w:w="0" w:type="dxa"/>
          </w:tblCellMar>
        </w:tblPrEx>
        <w:trPr>
          <w:trHeight w:val="111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rFonts w:hint="eastAsia"/>
                <w:b/>
                <w:sz w:val="21"/>
                <w:szCs w:val="21"/>
              </w:rPr>
              <w:t>37</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生态康养旅游建设项目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b/>
                <w:sz w:val="21"/>
                <w:szCs w:val="21"/>
              </w:rPr>
            </w:pPr>
            <w:r>
              <w:rPr>
                <w:kern w:val="0"/>
                <w:sz w:val="21"/>
                <w:szCs w:val="21"/>
              </w:rPr>
              <w:t>花门街道、羊古坳镇</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b/>
                <w:sz w:val="21"/>
                <w:szCs w:val="21"/>
              </w:rPr>
            </w:pPr>
            <w:r>
              <w:rPr>
                <w:kern w:val="0"/>
                <w:sz w:val="21"/>
                <w:szCs w:val="21"/>
              </w:rPr>
              <w:t>项项目内容包括老年公寓基础设施、康养中心办公楼及配套体育卫生综合楼、办公楼、旅游商务酒店、观光索道、5A级旅游休闲度假中心、野生动物养殖基地、有机蔬菜种植基地、蔬果采摘体验园、水上乐园、休闲垂钓等。</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2023</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50000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50000</w:t>
            </w:r>
          </w:p>
        </w:tc>
      </w:tr>
      <w:tr>
        <w:tblPrEx>
          <w:tblCellMar>
            <w:top w:w="0" w:type="dxa"/>
            <w:left w:w="0" w:type="dxa"/>
            <w:bottom w:w="0" w:type="dxa"/>
            <w:right w:w="0" w:type="dxa"/>
          </w:tblCellMar>
        </w:tblPrEx>
        <w:trPr>
          <w:trHeight w:val="205" w:hRule="atLeast"/>
        </w:trPr>
        <w:tc>
          <w:tcPr>
            <w:tcW w:w="232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left"/>
              <w:textAlignment w:val="center"/>
              <w:rPr>
                <w:sz w:val="21"/>
                <w:szCs w:val="21"/>
              </w:rPr>
            </w:pPr>
            <w:r>
              <w:rPr>
                <w:rFonts w:hint="eastAsia"/>
                <w:b/>
                <w:kern w:val="0"/>
                <w:sz w:val="21"/>
                <w:szCs w:val="21"/>
              </w:rPr>
              <w:t>（五）城建</w:t>
            </w:r>
            <w:r>
              <w:rPr>
                <w:b/>
                <w:kern w:val="0"/>
                <w:sz w:val="21"/>
                <w:szCs w:val="21"/>
              </w:rPr>
              <w:t>基础设施</w:t>
            </w:r>
            <w:r>
              <w:rPr>
                <w:rFonts w:hint="eastAsia"/>
                <w:b/>
                <w:kern w:val="0"/>
                <w:sz w:val="21"/>
                <w:szCs w:val="21"/>
              </w:rPr>
              <w:t>工程</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rPr>
                <w:sz w:val="21"/>
                <w:szCs w:val="21"/>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rPr>
                <w:sz w:val="21"/>
                <w:szCs w:val="21"/>
              </w:rPr>
            </w:pP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rPr>
                <w:sz w:val="21"/>
                <w:szCs w:val="21"/>
              </w:rPr>
            </w:pP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rPr>
                <w:sz w:val="21"/>
                <w:szCs w:val="21"/>
              </w:rPr>
            </w:pP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rPr>
                <w:sz w:val="21"/>
                <w:szCs w:val="21"/>
              </w:rPr>
            </w:pP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textAlignment w:val="center"/>
              <w:rPr>
                <w:sz w:val="21"/>
                <w:szCs w:val="21"/>
              </w:rPr>
            </w:pPr>
            <w:r>
              <w:rPr>
                <w:rFonts w:hint="eastAsia"/>
                <w:b/>
                <w:kern w:val="0"/>
                <w:sz w:val="21"/>
                <w:szCs w:val="21"/>
              </w:rPr>
              <w:t>2348270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textAlignment w:val="center"/>
              <w:rPr>
                <w:sz w:val="21"/>
                <w:szCs w:val="21"/>
              </w:rPr>
            </w:pPr>
            <w:r>
              <w:rPr>
                <w:rFonts w:hint="eastAsia"/>
                <w:b/>
                <w:kern w:val="0"/>
                <w:sz w:val="21"/>
                <w:szCs w:val="21"/>
              </w:rPr>
              <w:t>2348270</w:t>
            </w:r>
          </w:p>
        </w:tc>
      </w:tr>
      <w:tr>
        <w:tblPrEx>
          <w:tblCellMar>
            <w:top w:w="0" w:type="dxa"/>
            <w:left w:w="0" w:type="dxa"/>
            <w:bottom w:w="0" w:type="dxa"/>
            <w:right w:w="0" w:type="dxa"/>
          </w:tblCellMar>
        </w:tblPrEx>
        <w:trPr>
          <w:trHeight w:val="71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textAlignment w:val="center"/>
              <w:rPr>
                <w:sz w:val="21"/>
                <w:szCs w:val="21"/>
              </w:rPr>
            </w:pPr>
            <w:r>
              <w:rPr>
                <w:rFonts w:hint="eastAsia"/>
                <w:kern w:val="0"/>
                <w:sz w:val="21"/>
                <w:szCs w:val="21"/>
              </w:rPr>
              <w:t>38</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left"/>
              <w:textAlignment w:val="center"/>
              <w:rPr>
                <w:sz w:val="21"/>
                <w:szCs w:val="21"/>
              </w:rPr>
            </w:pPr>
            <w:r>
              <w:rPr>
                <w:kern w:val="0"/>
                <w:sz w:val="21"/>
                <w:szCs w:val="21"/>
              </w:rPr>
              <w:t>隆回县信息通讯业建设工程</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textAlignment w:val="center"/>
              <w:rPr>
                <w:sz w:val="21"/>
                <w:szCs w:val="21"/>
              </w:rPr>
            </w:pPr>
            <w:r>
              <w:rPr>
                <w:kern w:val="0"/>
                <w:sz w:val="21"/>
                <w:szCs w:val="21"/>
              </w:rPr>
              <w:t>在隆回县城新建800个5G基站，建设云计算、大数据、工业互联网、人工智能、物联网等平台和基础配套。</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textAlignment w:val="center"/>
              <w:rPr>
                <w:sz w:val="21"/>
                <w:szCs w:val="21"/>
              </w:rPr>
            </w:pPr>
            <w:r>
              <w:rPr>
                <w:kern w:val="0"/>
                <w:sz w:val="21"/>
                <w:szCs w:val="21"/>
              </w:rPr>
              <w:t>100000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60" w:lineRule="exact"/>
              <w:ind w:firstLine="0" w:firstLineChars="0"/>
              <w:jc w:val="center"/>
              <w:textAlignment w:val="center"/>
              <w:rPr>
                <w:sz w:val="21"/>
                <w:szCs w:val="21"/>
              </w:rPr>
            </w:pPr>
            <w:r>
              <w:rPr>
                <w:kern w:val="0"/>
                <w:sz w:val="21"/>
                <w:szCs w:val="21"/>
              </w:rPr>
              <w:t>100000</w:t>
            </w:r>
          </w:p>
        </w:tc>
      </w:tr>
      <w:tr>
        <w:tblPrEx>
          <w:tblCellMar>
            <w:top w:w="0" w:type="dxa"/>
            <w:left w:w="0" w:type="dxa"/>
            <w:bottom w:w="0" w:type="dxa"/>
            <w:right w:w="0" w:type="dxa"/>
          </w:tblCellMar>
        </w:tblPrEx>
        <w:trPr>
          <w:trHeight w:val="635"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ind w:firstLine="0" w:firstLineChars="0"/>
              <w:jc w:val="center"/>
              <w:textAlignment w:val="center"/>
              <w:rPr>
                <w:sz w:val="21"/>
                <w:szCs w:val="21"/>
              </w:rPr>
            </w:pPr>
            <w:r>
              <w:rPr>
                <w:rFonts w:hint="eastAsia"/>
                <w:sz w:val="21"/>
                <w:szCs w:val="21"/>
              </w:rPr>
              <w:t>39</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ind w:firstLine="0" w:firstLineChars="0"/>
              <w:jc w:val="left"/>
              <w:textAlignment w:val="center"/>
              <w:rPr>
                <w:kern w:val="0"/>
                <w:sz w:val="21"/>
                <w:szCs w:val="21"/>
              </w:rPr>
            </w:pPr>
            <w:r>
              <w:rPr>
                <w:rFonts w:hint="eastAsia"/>
                <w:kern w:val="0"/>
                <w:sz w:val="21"/>
                <w:szCs w:val="21"/>
              </w:rPr>
              <w:t>智慧城市建设项目</w:t>
            </w:r>
          </w:p>
          <w:p>
            <w:pPr>
              <w:widowControl/>
              <w:spacing w:line="240" w:lineRule="exact"/>
              <w:ind w:firstLine="0" w:firstLineChars="0"/>
              <w:jc w:val="left"/>
              <w:textAlignment w:val="center"/>
              <w:rPr>
                <w:sz w:val="21"/>
                <w:szCs w:val="21"/>
              </w:rPr>
            </w:pPr>
            <w:r>
              <w:rPr>
                <w:kern w:val="0"/>
                <w:sz w:val="21"/>
                <w:szCs w:val="21"/>
              </w:rPr>
              <w:t>安全感知信息化建设项目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ind w:firstLine="0" w:firstLineChars="0"/>
              <w:textAlignment w:val="center"/>
              <w:rPr>
                <w:sz w:val="21"/>
                <w:szCs w:val="21"/>
              </w:rPr>
            </w:pPr>
            <w:r>
              <w:rPr>
                <w:kern w:val="0"/>
                <w:sz w:val="21"/>
                <w:szCs w:val="21"/>
              </w:rPr>
              <w:t>主要建设内容包括按照城市未来发展进行预设，依托平台，购置现场智能感知设备、单兵图传设备等。指挥信息网（网络互通，包含互通所需要购置组网设备及安全设备等）、卫星通信网（购置移动卫星通信设备）、无线通信网建设（购置无线通信设备）以及定期维护等。新建感知数据存储服务平台、危化企业数据对接、新建感知点（按照现有及未来5年预计，高危企业、非煤矿山和烟花生产企业及零售点等单位可能达到1200处）等。建设内容包括面积1000m²的指挥中心建设、涵盖云环境建设、应急指挥装备、指挥平台、移动指挥平台建设等。</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ind w:firstLine="0" w:firstLineChars="0"/>
              <w:jc w:val="center"/>
              <w:textAlignment w:val="center"/>
              <w:rPr>
                <w:sz w:val="21"/>
                <w:szCs w:val="21"/>
              </w:rPr>
            </w:pPr>
            <w:r>
              <w:rPr>
                <w:kern w:val="0"/>
                <w:sz w:val="21"/>
                <w:szCs w:val="21"/>
              </w:rPr>
              <w:t>10000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ind w:firstLine="0" w:firstLineChars="0"/>
              <w:jc w:val="center"/>
              <w:textAlignment w:val="center"/>
              <w:rPr>
                <w:sz w:val="21"/>
                <w:szCs w:val="21"/>
              </w:rPr>
            </w:pPr>
            <w:r>
              <w:rPr>
                <w:kern w:val="0"/>
                <w:sz w:val="21"/>
                <w:szCs w:val="21"/>
              </w:rPr>
              <w:t>10000</w:t>
            </w:r>
          </w:p>
        </w:tc>
      </w:tr>
      <w:tr>
        <w:tblPrEx>
          <w:tblCellMar>
            <w:top w:w="0" w:type="dxa"/>
            <w:left w:w="0" w:type="dxa"/>
            <w:bottom w:w="0" w:type="dxa"/>
            <w:right w:w="0" w:type="dxa"/>
          </w:tblCellMar>
        </w:tblPrEx>
        <w:trPr>
          <w:trHeight w:val="48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kern w:val="0"/>
                <w:sz w:val="21"/>
                <w:szCs w:val="21"/>
              </w:rPr>
              <w:t>40</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kern w:val="0"/>
                <w:sz w:val="21"/>
                <w:szCs w:val="21"/>
              </w:rPr>
            </w:pPr>
            <w:r>
              <w:rPr>
                <w:kern w:val="0"/>
                <w:sz w:val="21"/>
                <w:szCs w:val="21"/>
              </w:rPr>
              <w:t>新时代广电网络</w:t>
            </w:r>
          </w:p>
          <w:p>
            <w:pPr>
              <w:widowControl/>
              <w:spacing w:line="300" w:lineRule="exact"/>
              <w:ind w:firstLine="0" w:firstLineChars="0"/>
              <w:jc w:val="left"/>
              <w:textAlignment w:val="center"/>
              <w:rPr>
                <w:sz w:val="21"/>
                <w:szCs w:val="21"/>
              </w:rPr>
            </w:pPr>
            <w:r>
              <w:rPr>
                <w:kern w:val="0"/>
                <w:sz w:val="21"/>
                <w:szCs w:val="21"/>
              </w:rPr>
              <w:t>建设工程</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文化旅游广电体育局</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文化旅游广电体育局网络平台提质改造项目，项目内容包括建立融合、开放的云端服务平台，包括数据中心、开放的业务平台，以及融合丰富的服务能力；建立高性能的、绿色的、安全的网络，让有线电视网络发展成为集广播网和互联网的混合网，建立智能的5G网络；设计满足用户需求的融合智能终端。项目内容包括无线数字电视改造、有线电视双向网改造、农村数字电影院线建设、户外电视大屏幕建设、农村智能广播网建设、乡镇小片网收购等。</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8800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8800</w:t>
            </w:r>
          </w:p>
        </w:tc>
      </w:tr>
      <w:tr>
        <w:tblPrEx>
          <w:tblCellMar>
            <w:top w:w="0" w:type="dxa"/>
            <w:left w:w="0" w:type="dxa"/>
            <w:bottom w:w="0" w:type="dxa"/>
            <w:right w:w="0" w:type="dxa"/>
          </w:tblCellMar>
        </w:tblPrEx>
        <w:trPr>
          <w:trHeight w:val="475"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rFonts w:hint="eastAsia"/>
                <w:kern w:val="0"/>
                <w:sz w:val="21"/>
                <w:szCs w:val="21"/>
              </w:rPr>
              <w:t>41</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智慧隆回建设项目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b/>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b/>
                <w:sz w:val="21"/>
                <w:szCs w:val="21"/>
              </w:rPr>
            </w:pPr>
            <w:r>
              <w:rPr>
                <w:kern w:val="0"/>
                <w:sz w:val="21"/>
                <w:szCs w:val="21"/>
              </w:rPr>
              <w:t>智慧党建、智慧综治、雪亮工程、智慧城市数据中心、 智慧政务、网络建设、智慧城市管理与运行中心建设、智慧城市基础通讯网络建设、电子政务云平台建设、智慧城管建设工程、网格化综合信息平台、城市排涝及安全监控管理平台建设、地下管网监控管理平台、智慧警务建设、智慧应急管理体系建设、智慧安监建设工程、食品药品安全信息监督服务平台、智慧环保建设工程、智慧国土建设、智慧民生WIFI覆盖建设、智慧教育建设工程、市民卡平台建设和推广使用、智慧旅游、智能交通建设工程、智慧医疗建设工程、智慧社区示范工程、产业管理系统建设、电子商务推进建设、两化融合推进项目、智慧林业建设、征信信息平台建设、智慧水利建设、智慧农业。</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100000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100000</w:t>
            </w:r>
          </w:p>
        </w:tc>
      </w:tr>
      <w:tr>
        <w:tblPrEx>
          <w:tblCellMar>
            <w:top w:w="0" w:type="dxa"/>
            <w:left w:w="0" w:type="dxa"/>
            <w:bottom w:w="0" w:type="dxa"/>
            <w:right w:w="0" w:type="dxa"/>
          </w:tblCellMar>
        </w:tblPrEx>
        <w:trPr>
          <w:trHeight w:val="255"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rFonts w:hint="eastAsia"/>
                <w:kern w:val="0"/>
                <w:sz w:val="21"/>
                <w:szCs w:val="21"/>
              </w:rPr>
              <w:t>42</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kern w:val="0"/>
                <w:sz w:val="21"/>
                <w:szCs w:val="21"/>
              </w:rPr>
            </w:pPr>
            <w:r>
              <w:rPr>
                <w:kern w:val="0"/>
                <w:sz w:val="21"/>
                <w:szCs w:val="21"/>
              </w:rPr>
              <w:t>隆回县充电桩</w:t>
            </w:r>
          </w:p>
          <w:p>
            <w:pPr>
              <w:widowControl/>
              <w:spacing w:line="300" w:lineRule="exact"/>
              <w:ind w:firstLine="0" w:firstLineChars="0"/>
              <w:jc w:val="left"/>
              <w:textAlignment w:val="center"/>
              <w:rPr>
                <w:sz w:val="21"/>
                <w:szCs w:val="21"/>
              </w:rPr>
            </w:pPr>
            <w:r>
              <w:rPr>
                <w:kern w:val="0"/>
                <w:sz w:val="21"/>
                <w:szCs w:val="21"/>
              </w:rPr>
              <w:t>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建设内容包括：运行平台1个、充电站150座、直流充电桩10000个、交流充电桩5000个、2500ＫＶ变压器150个、配套设施等。</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100000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100000</w:t>
            </w:r>
          </w:p>
        </w:tc>
      </w:tr>
      <w:tr>
        <w:tblPrEx>
          <w:tblCellMar>
            <w:top w:w="0" w:type="dxa"/>
            <w:left w:w="0" w:type="dxa"/>
            <w:bottom w:w="0" w:type="dxa"/>
            <w:right w:w="0" w:type="dxa"/>
          </w:tblCellMar>
        </w:tblPrEx>
        <w:trPr>
          <w:trHeight w:val="72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4</w:t>
            </w:r>
            <w:r>
              <w:rPr>
                <w:rFonts w:hint="eastAsia"/>
                <w:kern w:val="0"/>
                <w:sz w:val="21"/>
                <w:szCs w:val="21"/>
              </w:rPr>
              <w:t>3</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邵阳市西城快线建设项目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隆回新邵邵阳</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东起邵阳市中心城区，西至隆回县县城，全长约38公里，道路宽度34米。</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280000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280000</w:t>
            </w:r>
          </w:p>
        </w:tc>
      </w:tr>
      <w:tr>
        <w:tblPrEx>
          <w:tblCellMar>
            <w:top w:w="0" w:type="dxa"/>
            <w:left w:w="0" w:type="dxa"/>
            <w:bottom w:w="0" w:type="dxa"/>
            <w:right w:w="0" w:type="dxa"/>
          </w:tblCellMar>
        </w:tblPrEx>
        <w:trPr>
          <w:trHeight w:val="72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kern w:val="0"/>
                <w:sz w:val="21"/>
                <w:szCs w:val="21"/>
              </w:rPr>
              <w:t>44</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沪昆高铁金石桥高铁站</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金石桥镇</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在金石桥预留站址建设二级站。</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50000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50000</w:t>
            </w:r>
          </w:p>
        </w:tc>
      </w:tr>
      <w:tr>
        <w:tblPrEx>
          <w:tblCellMar>
            <w:top w:w="0" w:type="dxa"/>
            <w:left w:w="0" w:type="dxa"/>
            <w:bottom w:w="0" w:type="dxa"/>
            <w:right w:w="0" w:type="dxa"/>
          </w:tblCellMar>
        </w:tblPrEx>
        <w:trPr>
          <w:trHeight w:val="48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rFonts w:hint="eastAsia"/>
                <w:kern w:val="0"/>
                <w:sz w:val="21"/>
                <w:szCs w:val="21"/>
              </w:rPr>
              <w:t>45</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sz w:val="21"/>
                <w:szCs w:val="21"/>
              </w:rPr>
            </w:pPr>
            <w:r>
              <w:rPr>
                <w:kern w:val="0"/>
                <w:sz w:val="21"/>
                <w:szCs w:val="21"/>
              </w:rPr>
              <w:t>G60沪昆高速公路隆回县城东互通道路建设项目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sz w:val="21"/>
                <w:szCs w:val="21"/>
              </w:rPr>
            </w:pPr>
            <w:r>
              <w:rPr>
                <w:kern w:val="0"/>
                <w:sz w:val="21"/>
                <w:szCs w:val="21"/>
              </w:rPr>
              <w:t>桃花坪街道</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sz w:val="21"/>
                <w:szCs w:val="21"/>
              </w:rPr>
            </w:pPr>
            <w:r>
              <w:rPr>
                <w:kern w:val="0"/>
                <w:sz w:val="21"/>
                <w:szCs w:val="21"/>
              </w:rPr>
              <w:t>项目内容包括互通匝道1.7公里、匝道桥660m/6座、主线1.3公里、加减速车道0.9公里、收费站4进4出共8个收费车道、土建房建及购进机电设施等。</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2023</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19470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19470</w:t>
            </w:r>
          </w:p>
        </w:tc>
      </w:tr>
      <w:tr>
        <w:tblPrEx>
          <w:tblCellMar>
            <w:top w:w="0" w:type="dxa"/>
            <w:left w:w="0" w:type="dxa"/>
            <w:bottom w:w="0" w:type="dxa"/>
            <w:right w:w="0" w:type="dxa"/>
          </w:tblCellMar>
        </w:tblPrEx>
        <w:trPr>
          <w:trHeight w:val="87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rFonts w:hint="eastAsia"/>
                <w:kern w:val="0"/>
                <w:sz w:val="21"/>
                <w:szCs w:val="21"/>
              </w:rPr>
              <w:t>46</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隆回县滩头沐仙湖通用机场建设项目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b/>
                <w:sz w:val="21"/>
                <w:szCs w:val="21"/>
              </w:rPr>
            </w:pPr>
            <w:r>
              <w:rPr>
                <w:kern w:val="0"/>
                <w:sz w:val="21"/>
                <w:szCs w:val="21"/>
              </w:rPr>
              <w:t>滩头镇</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b/>
                <w:sz w:val="21"/>
                <w:szCs w:val="21"/>
              </w:rPr>
            </w:pPr>
            <w:r>
              <w:rPr>
                <w:kern w:val="0"/>
                <w:sz w:val="21"/>
                <w:szCs w:val="21"/>
              </w:rPr>
              <w:t>计划用地700亩以上，进行通用机场基础设施建设和办公楼等配套附属基础建设及购买飞机。</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2020</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100000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100000</w:t>
            </w:r>
          </w:p>
        </w:tc>
      </w:tr>
      <w:tr>
        <w:tblPrEx>
          <w:tblCellMar>
            <w:top w:w="0" w:type="dxa"/>
            <w:left w:w="0" w:type="dxa"/>
            <w:bottom w:w="0" w:type="dxa"/>
            <w:right w:w="0" w:type="dxa"/>
          </w:tblCellMar>
        </w:tblPrEx>
        <w:trPr>
          <w:trHeight w:val="775"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kern w:val="0"/>
                <w:sz w:val="21"/>
                <w:szCs w:val="21"/>
              </w:rPr>
              <w:t>47</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六都寨通用机场建设项目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六都寨镇</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计划用地600亩以上，进行通用机场基础设施建设以及配套设施建设等。</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200000</w:t>
            </w:r>
          </w:p>
        </w:tc>
      </w:tr>
      <w:tr>
        <w:tblPrEx>
          <w:tblCellMar>
            <w:top w:w="0" w:type="dxa"/>
            <w:left w:w="0" w:type="dxa"/>
            <w:bottom w:w="0" w:type="dxa"/>
            <w:right w:w="0" w:type="dxa"/>
          </w:tblCellMar>
        </w:tblPrEx>
        <w:trPr>
          <w:trHeight w:val="48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kern w:val="0"/>
                <w:sz w:val="21"/>
                <w:szCs w:val="21"/>
              </w:rPr>
              <w:t>48</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隆回县城地下管廊建设项目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老城区、城北新城新建设下综合管廊，综合管廊总长5公里。</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50000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50000</w:t>
            </w:r>
          </w:p>
        </w:tc>
      </w:tr>
      <w:tr>
        <w:tblPrEx>
          <w:tblCellMar>
            <w:top w:w="0" w:type="dxa"/>
            <w:left w:w="0" w:type="dxa"/>
            <w:bottom w:w="0" w:type="dxa"/>
            <w:right w:w="0" w:type="dxa"/>
          </w:tblCellMar>
        </w:tblPrEx>
        <w:trPr>
          <w:trHeight w:val="48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kern w:val="0"/>
                <w:sz w:val="21"/>
                <w:szCs w:val="21"/>
              </w:rPr>
              <w:t>49</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隆回县城北高铁新城综合交通枢纽</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规划用地面积338899平方米，主要建设客运站场、公交站场、停车场等。</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100000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100000</w:t>
            </w:r>
          </w:p>
        </w:tc>
      </w:tr>
      <w:tr>
        <w:tblPrEx>
          <w:tblCellMar>
            <w:top w:w="0" w:type="dxa"/>
            <w:left w:w="0" w:type="dxa"/>
            <w:bottom w:w="0" w:type="dxa"/>
            <w:right w:w="0" w:type="dxa"/>
          </w:tblCellMar>
        </w:tblPrEx>
        <w:trPr>
          <w:trHeight w:val="475"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rFonts w:hint="eastAsia"/>
                <w:kern w:val="0"/>
                <w:sz w:val="21"/>
                <w:szCs w:val="21"/>
              </w:rPr>
              <w:t>50</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隆回县城区综合停车场项目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在城东、城中、城西建设4处立体停车场，建筑面积30000㎡，同时配套建设服务站、加油站、加气站、充电桩等综合服务设施，新增停车位2000个。</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30000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30000</w:t>
            </w:r>
          </w:p>
        </w:tc>
      </w:tr>
      <w:tr>
        <w:tblPrEx>
          <w:tblCellMar>
            <w:top w:w="0" w:type="dxa"/>
            <w:left w:w="0" w:type="dxa"/>
            <w:bottom w:w="0" w:type="dxa"/>
            <w:right w:w="0" w:type="dxa"/>
          </w:tblCellMar>
        </w:tblPrEx>
        <w:trPr>
          <w:trHeight w:val="9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kern w:val="0"/>
                <w:sz w:val="21"/>
                <w:szCs w:val="21"/>
              </w:rPr>
              <w:t>51</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乡镇交通综合交通枢纽建设项目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相关乡镇</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小沙江镇等10个原区公所所在驻地乡镇的巴士车站、调度台等，完善相关配套设施。</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50000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50000</w:t>
            </w:r>
          </w:p>
        </w:tc>
      </w:tr>
      <w:tr>
        <w:tblPrEx>
          <w:tblCellMar>
            <w:top w:w="0" w:type="dxa"/>
            <w:left w:w="0" w:type="dxa"/>
            <w:bottom w:w="0" w:type="dxa"/>
            <w:right w:w="0" w:type="dxa"/>
          </w:tblCellMar>
        </w:tblPrEx>
        <w:trPr>
          <w:trHeight w:val="48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rFonts w:hint="eastAsia"/>
                <w:kern w:val="0"/>
                <w:sz w:val="21"/>
                <w:szCs w:val="21"/>
              </w:rPr>
              <w:t>52</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kern w:val="0"/>
                <w:sz w:val="21"/>
                <w:szCs w:val="21"/>
              </w:rPr>
            </w:pPr>
            <w:r>
              <w:rPr>
                <w:kern w:val="0"/>
                <w:sz w:val="21"/>
                <w:szCs w:val="21"/>
              </w:rPr>
              <w:t>隆回县城区</w:t>
            </w:r>
          </w:p>
          <w:p>
            <w:pPr>
              <w:widowControl/>
              <w:spacing w:line="280" w:lineRule="exact"/>
              <w:ind w:firstLine="0" w:firstLineChars="0"/>
              <w:jc w:val="left"/>
              <w:textAlignment w:val="center"/>
              <w:rPr>
                <w:sz w:val="21"/>
                <w:szCs w:val="21"/>
              </w:rPr>
            </w:pPr>
            <w:r>
              <w:rPr>
                <w:kern w:val="0"/>
                <w:sz w:val="21"/>
                <w:szCs w:val="21"/>
              </w:rPr>
              <w:t>道路建设项目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新建、改建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sz w:val="21"/>
                <w:szCs w:val="21"/>
              </w:rPr>
            </w:pPr>
            <w:r>
              <w:rPr>
                <w:kern w:val="0"/>
                <w:sz w:val="21"/>
                <w:szCs w:val="21"/>
              </w:rPr>
              <w:t>新建兴隆大道、环城北路西段、辰河路、人民路、立新路、伏龙江路北段延伸段、长岭路、隆回大道东段、环城南路园区段等城市道路9条，总长30km；新建七里大桥、青风大桥、凤仙庵桥、江湾大桥等城市桥梁4座；对九龙路、桃洪路、沿江北路、桃花路、紫霞路、朝阳路等6条城市道路进行提质改造，总长度30km。</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500000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500000</w:t>
            </w:r>
          </w:p>
        </w:tc>
      </w:tr>
      <w:tr>
        <w:tblPrEx>
          <w:tblCellMar>
            <w:top w:w="0" w:type="dxa"/>
            <w:left w:w="0" w:type="dxa"/>
            <w:bottom w:w="0" w:type="dxa"/>
            <w:right w:w="0" w:type="dxa"/>
          </w:tblCellMar>
        </w:tblPrEx>
        <w:trPr>
          <w:trHeight w:val="475"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b/>
                <w:sz w:val="21"/>
                <w:szCs w:val="21"/>
              </w:rPr>
            </w:pPr>
            <w:r>
              <w:rPr>
                <w:rFonts w:hint="eastAsia"/>
                <w:kern w:val="0"/>
                <w:sz w:val="21"/>
                <w:szCs w:val="21"/>
              </w:rPr>
              <w:t>53</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kern w:val="0"/>
                <w:sz w:val="21"/>
                <w:szCs w:val="21"/>
              </w:rPr>
            </w:pPr>
            <w:r>
              <w:rPr>
                <w:kern w:val="0"/>
                <w:sz w:val="21"/>
                <w:szCs w:val="21"/>
              </w:rPr>
              <w:t>隆回县街道小城</w:t>
            </w:r>
          </w:p>
          <w:p>
            <w:pPr>
              <w:widowControl/>
              <w:spacing w:line="280" w:lineRule="exact"/>
              <w:ind w:firstLine="0" w:firstLineChars="0"/>
              <w:jc w:val="left"/>
              <w:textAlignment w:val="center"/>
              <w:rPr>
                <w:sz w:val="21"/>
                <w:szCs w:val="21"/>
              </w:rPr>
            </w:pPr>
            <w:r>
              <w:rPr>
                <w:kern w:val="0"/>
                <w:sz w:val="21"/>
                <w:szCs w:val="21"/>
              </w:rPr>
              <w:t>镇综合建设项目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b/>
                <w:sz w:val="21"/>
                <w:szCs w:val="21"/>
              </w:rPr>
            </w:pPr>
            <w:r>
              <w:rPr>
                <w:kern w:val="0"/>
                <w:sz w:val="21"/>
                <w:szCs w:val="21"/>
              </w:rPr>
              <w:t>新建改扩建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b/>
                <w:sz w:val="21"/>
                <w:szCs w:val="21"/>
              </w:rPr>
            </w:pPr>
            <w:r>
              <w:rPr>
                <w:kern w:val="0"/>
                <w:sz w:val="21"/>
                <w:szCs w:val="21"/>
              </w:rPr>
              <w:t>花门、桃花坪街道</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b/>
                <w:sz w:val="21"/>
                <w:szCs w:val="21"/>
              </w:rPr>
            </w:pPr>
            <w:r>
              <w:rPr>
                <w:kern w:val="0"/>
                <w:sz w:val="21"/>
                <w:szCs w:val="21"/>
              </w:rPr>
              <w:t>主要对花门、桃花坪街道的老旧社区、断头路的打通、下水道管网、城镇亮化、农贸市场、电力电网改造等市政基础设施进行建设以及提质改造等。</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b/>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b/>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b/>
                <w:sz w:val="21"/>
                <w:szCs w:val="21"/>
              </w:rPr>
            </w:pPr>
            <w:r>
              <w:rPr>
                <w:kern w:val="0"/>
                <w:sz w:val="21"/>
                <w:szCs w:val="21"/>
              </w:rPr>
              <w:t>100000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100000</w:t>
            </w:r>
          </w:p>
        </w:tc>
      </w:tr>
      <w:tr>
        <w:tblPrEx>
          <w:tblCellMar>
            <w:top w:w="0" w:type="dxa"/>
            <w:left w:w="0" w:type="dxa"/>
            <w:bottom w:w="0" w:type="dxa"/>
            <w:right w:w="0" w:type="dxa"/>
          </w:tblCellMar>
        </w:tblPrEx>
        <w:trPr>
          <w:trHeight w:val="9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b/>
                <w:sz w:val="21"/>
                <w:szCs w:val="21"/>
              </w:rPr>
            </w:pPr>
            <w:r>
              <w:rPr>
                <w:rFonts w:hint="eastAsia"/>
                <w:kern w:val="0"/>
                <w:sz w:val="21"/>
                <w:szCs w:val="21"/>
              </w:rPr>
              <w:t>54</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left"/>
              <w:textAlignment w:val="center"/>
              <w:rPr>
                <w:sz w:val="21"/>
                <w:szCs w:val="21"/>
              </w:rPr>
            </w:pPr>
            <w:r>
              <w:rPr>
                <w:kern w:val="0"/>
                <w:sz w:val="21"/>
                <w:szCs w:val="21"/>
              </w:rPr>
              <w:t>隆回县城市公园建设项目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kern w:val="0"/>
                <w:sz w:val="21"/>
                <w:szCs w:val="21"/>
              </w:rPr>
            </w:pPr>
            <w:r>
              <w:rPr>
                <w:kern w:val="0"/>
                <w:sz w:val="21"/>
                <w:szCs w:val="21"/>
              </w:rPr>
              <w:t>新建</w:t>
            </w:r>
          </w:p>
          <w:p>
            <w:pPr>
              <w:widowControl/>
              <w:spacing w:line="320" w:lineRule="exact"/>
              <w:ind w:firstLine="0" w:firstLineChars="0"/>
              <w:jc w:val="center"/>
              <w:textAlignment w:val="center"/>
              <w:rPr>
                <w:sz w:val="21"/>
                <w:szCs w:val="21"/>
              </w:rPr>
            </w:pPr>
            <w:r>
              <w:rPr>
                <w:kern w:val="0"/>
                <w:sz w:val="21"/>
                <w:szCs w:val="21"/>
              </w:rPr>
              <w:t>改建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textAlignment w:val="center"/>
              <w:rPr>
                <w:sz w:val="21"/>
                <w:szCs w:val="21"/>
              </w:rPr>
            </w:pPr>
            <w:r>
              <w:rPr>
                <w:kern w:val="0"/>
                <w:sz w:val="21"/>
                <w:szCs w:val="21"/>
              </w:rPr>
              <w:t>新建城北公园、思源公园、三八水库湿地公园、橘子山公园、赧水河沿江风光带；对魏源公园、方大公园、西郊烈士公园进行提质改造。植树造林、绿化200公顷，新建道路15km、游步道50km，配套建设旅游设施、公共基础设施10000</w:t>
            </w:r>
            <w:r>
              <w:rPr>
                <w:rFonts w:hint="eastAsia" w:ascii="宋体" w:hAnsi="宋体" w:eastAsia="宋体" w:cs="宋体"/>
                <w:kern w:val="0"/>
                <w:sz w:val="21"/>
                <w:szCs w:val="21"/>
              </w:rPr>
              <w:t>㎡</w:t>
            </w:r>
            <w:r>
              <w:rPr>
                <w:kern w:val="0"/>
                <w:sz w:val="21"/>
                <w:szCs w:val="21"/>
              </w:rPr>
              <w:t>。</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b/>
                <w:sz w:val="21"/>
                <w:szCs w:val="21"/>
              </w:rPr>
            </w:pPr>
            <w:r>
              <w:rPr>
                <w:kern w:val="0"/>
                <w:sz w:val="21"/>
                <w:szCs w:val="21"/>
              </w:rPr>
              <w:t>40000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b/>
                <w:sz w:val="21"/>
                <w:szCs w:val="21"/>
              </w:rPr>
            </w:pPr>
            <w:r>
              <w:rPr>
                <w:kern w:val="0"/>
                <w:sz w:val="21"/>
                <w:szCs w:val="21"/>
              </w:rPr>
              <w:t>40000</w:t>
            </w:r>
          </w:p>
        </w:tc>
      </w:tr>
      <w:tr>
        <w:tblPrEx>
          <w:tblCellMar>
            <w:top w:w="0" w:type="dxa"/>
            <w:left w:w="0" w:type="dxa"/>
            <w:bottom w:w="0" w:type="dxa"/>
            <w:right w:w="0" w:type="dxa"/>
          </w:tblCellMar>
        </w:tblPrEx>
        <w:trPr>
          <w:trHeight w:val="896"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b/>
                <w:sz w:val="21"/>
                <w:szCs w:val="21"/>
              </w:rPr>
            </w:pPr>
            <w:r>
              <w:rPr>
                <w:rFonts w:hint="eastAsia"/>
                <w:kern w:val="0"/>
                <w:sz w:val="21"/>
                <w:szCs w:val="21"/>
              </w:rPr>
              <w:t>55</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left"/>
              <w:textAlignment w:val="center"/>
              <w:rPr>
                <w:sz w:val="21"/>
                <w:szCs w:val="21"/>
              </w:rPr>
            </w:pPr>
            <w:r>
              <w:rPr>
                <w:kern w:val="0"/>
                <w:sz w:val="21"/>
                <w:szCs w:val="21"/>
              </w:rPr>
              <w:t>隆回县高新区基础设施建设项目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b/>
                <w:sz w:val="21"/>
                <w:szCs w:val="21"/>
              </w:rPr>
            </w:pPr>
            <w:r>
              <w:rPr>
                <w:kern w:val="0"/>
                <w:sz w:val="21"/>
                <w:szCs w:val="21"/>
              </w:rPr>
              <w:t>改扩建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textAlignment w:val="center"/>
              <w:rPr>
                <w:b/>
                <w:sz w:val="21"/>
                <w:szCs w:val="21"/>
              </w:rPr>
            </w:pPr>
            <w:r>
              <w:rPr>
                <w:kern w:val="0"/>
                <w:sz w:val="21"/>
                <w:szCs w:val="21"/>
              </w:rPr>
              <w:t>隆回高新区</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textAlignment w:val="center"/>
              <w:rPr>
                <w:b/>
                <w:sz w:val="21"/>
                <w:szCs w:val="21"/>
              </w:rPr>
            </w:pPr>
            <w:r>
              <w:rPr>
                <w:kern w:val="0"/>
                <w:sz w:val="21"/>
                <w:szCs w:val="21"/>
              </w:rPr>
              <w:t>完成沿伏龙江景观带、白里桥、环城东路、环城南路园区段、桃花路园区段改造、工业路延伸段、次干路、园区支路和滨江路延伸段等工程项目的建设以及总里50km。</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b/>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b/>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b/>
                <w:sz w:val="21"/>
                <w:szCs w:val="21"/>
              </w:rPr>
            </w:pPr>
            <w:r>
              <w:rPr>
                <w:kern w:val="0"/>
                <w:sz w:val="21"/>
                <w:szCs w:val="21"/>
              </w:rPr>
              <w:t>100000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b/>
                <w:sz w:val="21"/>
                <w:szCs w:val="21"/>
              </w:rPr>
            </w:pPr>
            <w:r>
              <w:rPr>
                <w:kern w:val="0"/>
                <w:sz w:val="21"/>
                <w:szCs w:val="21"/>
              </w:rPr>
              <w:t>100000</w:t>
            </w:r>
          </w:p>
        </w:tc>
      </w:tr>
      <w:tr>
        <w:tblPrEx>
          <w:tblCellMar>
            <w:top w:w="0" w:type="dxa"/>
            <w:left w:w="0" w:type="dxa"/>
            <w:bottom w:w="0" w:type="dxa"/>
            <w:right w:w="0" w:type="dxa"/>
          </w:tblCellMar>
        </w:tblPrEx>
        <w:trPr>
          <w:trHeight w:val="475"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b/>
                <w:sz w:val="21"/>
                <w:szCs w:val="21"/>
              </w:rPr>
            </w:pPr>
            <w:r>
              <w:rPr>
                <w:rFonts w:hint="eastAsia"/>
                <w:kern w:val="0"/>
                <w:sz w:val="21"/>
                <w:szCs w:val="21"/>
              </w:rPr>
              <w:t>56</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sz w:val="21"/>
                <w:szCs w:val="21"/>
              </w:rPr>
            </w:pPr>
            <w:r>
              <w:rPr>
                <w:kern w:val="0"/>
                <w:sz w:val="21"/>
                <w:szCs w:val="21"/>
              </w:rPr>
              <w:t>隆回资江赧水河段污染综合整治工程</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b/>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b/>
                <w:sz w:val="21"/>
                <w:szCs w:val="21"/>
              </w:rPr>
            </w:pPr>
            <w:r>
              <w:rPr>
                <w:rFonts w:hint="eastAsia"/>
                <w:bCs/>
                <w:sz w:val="21"/>
                <w:szCs w:val="21"/>
              </w:rPr>
              <w:t>县城</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b/>
                <w:sz w:val="21"/>
                <w:szCs w:val="21"/>
              </w:rPr>
            </w:pPr>
            <w:r>
              <w:rPr>
                <w:kern w:val="0"/>
                <w:sz w:val="21"/>
                <w:szCs w:val="21"/>
              </w:rPr>
              <w:t>对河道两岸实行生态修复，完善县城城市污水截污管道，河道清淤。</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b/>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b/>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b/>
                <w:sz w:val="21"/>
                <w:szCs w:val="21"/>
              </w:rPr>
            </w:pPr>
            <w:r>
              <w:rPr>
                <w:kern w:val="0"/>
                <w:sz w:val="21"/>
                <w:szCs w:val="21"/>
              </w:rPr>
              <w:t>10000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b/>
                <w:sz w:val="21"/>
                <w:szCs w:val="21"/>
              </w:rPr>
            </w:pPr>
            <w:r>
              <w:rPr>
                <w:kern w:val="0"/>
                <w:sz w:val="21"/>
                <w:szCs w:val="21"/>
              </w:rPr>
              <w:t>10000</w:t>
            </w:r>
          </w:p>
        </w:tc>
      </w:tr>
      <w:tr>
        <w:tblPrEx>
          <w:tblCellMar>
            <w:top w:w="0" w:type="dxa"/>
            <w:left w:w="0" w:type="dxa"/>
            <w:bottom w:w="0" w:type="dxa"/>
            <w:right w:w="0" w:type="dxa"/>
          </w:tblCellMar>
        </w:tblPrEx>
        <w:trPr>
          <w:trHeight w:val="48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rFonts w:hint="eastAsia"/>
                <w:kern w:val="0"/>
                <w:sz w:val="21"/>
                <w:szCs w:val="21"/>
              </w:rPr>
              <w:t>57</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sz w:val="21"/>
                <w:szCs w:val="21"/>
              </w:rPr>
            </w:pPr>
            <w:r>
              <w:rPr>
                <w:kern w:val="0"/>
                <w:sz w:val="21"/>
                <w:szCs w:val="21"/>
              </w:rPr>
              <w:t>城乡黑臭水治理建设项目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sz w:val="21"/>
                <w:szCs w:val="21"/>
              </w:rPr>
            </w:pPr>
            <w:r>
              <w:rPr>
                <w:kern w:val="0"/>
                <w:sz w:val="21"/>
                <w:szCs w:val="21"/>
              </w:rPr>
              <w:t>对伏龙江20km、辰河20km、西洋江10km、大洋江10km黑臭水体综合治理，进行截污、分流、净化处理。</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100000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100000</w:t>
            </w:r>
          </w:p>
        </w:tc>
      </w:tr>
      <w:tr>
        <w:tblPrEx>
          <w:tblCellMar>
            <w:top w:w="0" w:type="dxa"/>
            <w:left w:w="0" w:type="dxa"/>
            <w:bottom w:w="0" w:type="dxa"/>
            <w:right w:w="0" w:type="dxa"/>
          </w:tblCellMar>
        </w:tblPrEx>
        <w:trPr>
          <w:trHeight w:val="48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rFonts w:hint="eastAsia"/>
                <w:kern w:val="0"/>
                <w:sz w:val="21"/>
                <w:szCs w:val="21"/>
              </w:rPr>
              <w:t>58</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left"/>
              <w:textAlignment w:val="center"/>
              <w:rPr>
                <w:kern w:val="0"/>
                <w:sz w:val="21"/>
                <w:szCs w:val="21"/>
              </w:rPr>
            </w:pPr>
            <w:r>
              <w:rPr>
                <w:kern w:val="0"/>
                <w:sz w:val="21"/>
                <w:szCs w:val="21"/>
              </w:rPr>
              <w:t>隆回县生态廊道</w:t>
            </w:r>
          </w:p>
          <w:p>
            <w:pPr>
              <w:widowControl/>
              <w:spacing w:line="280" w:lineRule="exact"/>
              <w:ind w:firstLine="0" w:firstLineChars="0"/>
              <w:jc w:val="left"/>
              <w:textAlignment w:val="center"/>
              <w:rPr>
                <w:sz w:val="21"/>
                <w:szCs w:val="21"/>
              </w:rPr>
            </w:pPr>
            <w:r>
              <w:rPr>
                <w:kern w:val="0"/>
                <w:sz w:val="21"/>
                <w:szCs w:val="21"/>
              </w:rPr>
              <w:t>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textAlignment w:val="center"/>
              <w:rPr>
                <w:sz w:val="21"/>
                <w:szCs w:val="21"/>
              </w:rPr>
            </w:pPr>
            <w:r>
              <w:rPr>
                <w:kern w:val="0"/>
                <w:sz w:val="21"/>
                <w:szCs w:val="21"/>
              </w:rPr>
              <w:t>主要建设内容包括生态修复400公顷、提质改造600公顷、增量扩绿300公顷、重要湿地保护600公顷。公路绿化150公里、水道绿化60公里、城镇绿化100公顷、村庄绿化150处。</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51000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ind w:firstLine="0" w:firstLineChars="0"/>
              <w:jc w:val="center"/>
              <w:textAlignment w:val="center"/>
              <w:rPr>
                <w:sz w:val="21"/>
                <w:szCs w:val="21"/>
              </w:rPr>
            </w:pPr>
            <w:r>
              <w:rPr>
                <w:kern w:val="0"/>
                <w:sz w:val="21"/>
                <w:szCs w:val="21"/>
              </w:rPr>
              <w:t>51000</w:t>
            </w:r>
          </w:p>
        </w:tc>
      </w:tr>
      <w:tr>
        <w:tblPrEx>
          <w:tblCellMar>
            <w:top w:w="0" w:type="dxa"/>
            <w:left w:w="0" w:type="dxa"/>
            <w:bottom w:w="0" w:type="dxa"/>
            <w:right w:w="0" w:type="dxa"/>
          </w:tblCellMar>
        </w:tblPrEx>
        <w:trPr>
          <w:trHeight w:val="255"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Cs/>
                <w:sz w:val="21"/>
                <w:szCs w:val="21"/>
              </w:rPr>
            </w:pPr>
            <w:r>
              <w:rPr>
                <w:rFonts w:hint="eastAsia"/>
                <w:bCs/>
                <w:sz w:val="21"/>
                <w:szCs w:val="21"/>
              </w:rPr>
              <w:t>59</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隆回县垃圾焚烧发电项目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项目建设占地150亩，建设日处理500万吨垃圾焚烧发电厂及配套设施建设。</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50000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50000</w:t>
            </w:r>
          </w:p>
        </w:tc>
      </w:tr>
      <w:tr>
        <w:tblPrEx>
          <w:tblCellMar>
            <w:top w:w="0" w:type="dxa"/>
            <w:left w:w="0" w:type="dxa"/>
            <w:bottom w:w="0" w:type="dxa"/>
            <w:right w:w="0" w:type="dxa"/>
          </w:tblCellMar>
        </w:tblPrEx>
        <w:trPr>
          <w:trHeight w:val="48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kern w:val="0"/>
                <w:sz w:val="21"/>
                <w:szCs w:val="21"/>
              </w:rPr>
              <w:t>60</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医疗废弃物品处理工程项目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项目占地面积50亩，建筑面积10000平方米，年处理医疗废物能力9000吨。</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8000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8000</w:t>
            </w:r>
          </w:p>
        </w:tc>
      </w:tr>
      <w:tr>
        <w:tblPrEx>
          <w:tblCellMar>
            <w:top w:w="0" w:type="dxa"/>
            <w:left w:w="0" w:type="dxa"/>
            <w:bottom w:w="0" w:type="dxa"/>
            <w:right w:w="0" w:type="dxa"/>
          </w:tblCellMar>
        </w:tblPrEx>
        <w:trPr>
          <w:trHeight w:val="475"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Cs/>
                <w:sz w:val="21"/>
                <w:szCs w:val="21"/>
              </w:rPr>
            </w:pPr>
            <w:r>
              <w:rPr>
                <w:rFonts w:hint="eastAsia"/>
                <w:bCs/>
                <w:sz w:val="21"/>
                <w:szCs w:val="21"/>
              </w:rPr>
              <w:t>61</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隆回县再生资源回收体系建设项目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b/>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b/>
                <w:sz w:val="21"/>
                <w:szCs w:val="21"/>
              </w:rPr>
            </w:pPr>
            <w:r>
              <w:rPr>
                <w:kern w:val="0"/>
                <w:sz w:val="21"/>
                <w:szCs w:val="21"/>
              </w:rPr>
              <w:t>县城建设占地5000平方米的全县再生资源分拣交易与有毒有害垃圾临时存储中心；乡镇新建与改扩建10家再生资源分拣中心，占地30000平方米；各自然村建设2000个村级再生资源回收站。</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6000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6000</w:t>
            </w:r>
          </w:p>
        </w:tc>
      </w:tr>
      <w:tr>
        <w:tblPrEx>
          <w:tblCellMar>
            <w:top w:w="0" w:type="dxa"/>
            <w:left w:w="0" w:type="dxa"/>
            <w:bottom w:w="0" w:type="dxa"/>
            <w:right w:w="0" w:type="dxa"/>
          </w:tblCellMar>
        </w:tblPrEx>
        <w:trPr>
          <w:trHeight w:val="1694"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Cs/>
                <w:sz w:val="21"/>
                <w:szCs w:val="21"/>
              </w:rPr>
            </w:pPr>
            <w:r>
              <w:rPr>
                <w:rFonts w:hint="eastAsia"/>
                <w:bCs/>
                <w:sz w:val="21"/>
                <w:szCs w:val="21"/>
              </w:rPr>
              <w:t>62</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政务服务中心实体大厅建设项目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b/>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b/>
                <w:sz w:val="21"/>
                <w:szCs w:val="21"/>
              </w:rPr>
            </w:pPr>
            <w:r>
              <w:rPr>
                <w:kern w:val="0"/>
                <w:sz w:val="21"/>
                <w:szCs w:val="21"/>
              </w:rPr>
              <w:t>项目建设内容包括：1.建筑面积：14671㎡（不含架空层）20265㎡（含架空层）；2.容纳规模：进驻新政务服务中心部门共35个，预测工作人员共574人，其中后台工作人员266人，窗口服务工作人员308人；3.功能划分：包括办公用房、附属用房、办证办事等候区、大数据指挥中心、设备用房、停车库。</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2023</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15000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b/>
                <w:sz w:val="21"/>
                <w:szCs w:val="21"/>
              </w:rPr>
            </w:pPr>
            <w:r>
              <w:rPr>
                <w:kern w:val="0"/>
                <w:sz w:val="21"/>
                <w:szCs w:val="21"/>
              </w:rPr>
              <w:t>15000</w:t>
            </w:r>
          </w:p>
        </w:tc>
      </w:tr>
      <w:tr>
        <w:tblPrEx>
          <w:tblCellMar>
            <w:top w:w="0" w:type="dxa"/>
            <w:left w:w="0" w:type="dxa"/>
            <w:bottom w:w="0" w:type="dxa"/>
            <w:right w:w="0" w:type="dxa"/>
          </w:tblCellMar>
        </w:tblPrEx>
        <w:trPr>
          <w:trHeight w:val="72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rFonts w:hint="eastAsia"/>
                <w:kern w:val="0"/>
                <w:sz w:val="21"/>
                <w:szCs w:val="21"/>
              </w:rPr>
              <w:t>63</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left"/>
              <w:textAlignment w:val="center"/>
              <w:rPr>
                <w:sz w:val="21"/>
                <w:szCs w:val="21"/>
              </w:rPr>
            </w:pPr>
            <w:r>
              <w:rPr>
                <w:kern w:val="0"/>
                <w:sz w:val="21"/>
                <w:szCs w:val="21"/>
              </w:rPr>
              <w:t>隆回县文体中心建设项目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textAlignment w:val="center"/>
              <w:rPr>
                <w:sz w:val="21"/>
                <w:szCs w:val="21"/>
              </w:rPr>
            </w:pPr>
            <w:r>
              <w:rPr>
                <w:kern w:val="0"/>
                <w:sz w:val="21"/>
                <w:szCs w:val="21"/>
              </w:rPr>
              <w:t>项目占地480亩，总建筑面积6.5万平方米。建设内容包括县文化馆、县美术馆、县魏源图书馆、县科技馆、县体育中心（含篮球馆、乒乓球馆、游泳馆各一个）、县演艺中心（兼会议中心）、县文化体育公园等。</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50000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ind w:firstLine="0" w:firstLineChars="0"/>
              <w:jc w:val="center"/>
              <w:textAlignment w:val="center"/>
              <w:rPr>
                <w:sz w:val="21"/>
                <w:szCs w:val="21"/>
              </w:rPr>
            </w:pPr>
            <w:r>
              <w:rPr>
                <w:kern w:val="0"/>
                <w:sz w:val="21"/>
                <w:szCs w:val="21"/>
              </w:rPr>
              <w:t>50000</w:t>
            </w:r>
          </w:p>
        </w:tc>
      </w:tr>
      <w:tr>
        <w:tblPrEx>
          <w:tblCellMar>
            <w:top w:w="0" w:type="dxa"/>
            <w:left w:w="0" w:type="dxa"/>
            <w:bottom w:w="0" w:type="dxa"/>
            <w:right w:w="0" w:type="dxa"/>
          </w:tblCellMar>
        </w:tblPrEx>
        <w:trPr>
          <w:trHeight w:val="90"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sz w:val="21"/>
                <w:szCs w:val="21"/>
              </w:rPr>
            </w:pPr>
            <w:r>
              <w:rPr>
                <w:rFonts w:hint="eastAsia"/>
                <w:kern w:val="0"/>
                <w:sz w:val="21"/>
                <w:szCs w:val="21"/>
              </w:rPr>
              <w:t>64</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left"/>
              <w:textAlignment w:val="center"/>
              <w:rPr>
                <w:kern w:val="0"/>
                <w:sz w:val="21"/>
                <w:szCs w:val="21"/>
              </w:rPr>
            </w:pPr>
            <w:r>
              <w:rPr>
                <w:kern w:val="0"/>
                <w:sz w:val="21"/>
                <w:szCs w:val="21"/>
              </w:rPr>
              <w:t>隆回县体育公园</w:t>
            </w:r>
          </w:p>
          <w:p>
            <w:pPr>
              <w:widowControl/>
              <w:spacing w:line="320" w:lineRule="exact"/>
              <w:ind w:firstLine="0" w:firstLineChars="0"/>
              <w:jc w:val="left"/>
              <w:textAlignment w:val="center"/>
              <w:rPr>
                <w:sz w:val="21"/>
                <w:szCs w:val="21"/>
              </w:rPr>
            </w:pPr>
            <w:r>
              <w:rPr>
                <w:kern w:val="0"/>
                <w:sz w:val="21"/>
                <w:szCs w:val="21"/>
              </w:rPr>
              <w:t>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textAlignment w:val="center"/>
              <w:rPr>
                <w:sz w:val="21"/>
                <w:szCs w:val="21"/>
              </w:rPr>
            </w:pPr>
            <w:r>
              <w:rPr>
                <w:kern w:val="0"/>
                <w:sz w:val="21"/>
                <w:szCs w:val="21"/>
              </w:rPr>
              <w:t>具体项目内容包括魏源公园、方大公园、城北体育公园、芙蓉山体育、县文体中心体育公园建设、向家体育公园、十里花溪体育公园和城南骑界岭体育公园健身设施、健身步道、白沙湾大桥至紫霞园大桥健走步道20公里，并进行给排水、路灯、绿化、公厕等配套设施。等建设。</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sz w:val="21"/>
                <w:szCs w:val="21"/>
              </w:rPr>
            </w:pPr>
            <w:r>
              <w:rPr>
                <w:kern w:val="0"/>
                <w:sz w:val="21"/>
                <w:szCs w:val="21"/>
              </w:rPr>
              <w:t>2025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sz w:val="21"/>
                <w:szCs w:val="21"/>
              </w:rPr>
            </w:pPr>
            <w:r>
              <w:rPr>
                <w:kern w:val="0"/>
                <w:sz w:val="21"/>
                <w:szCs w:val="21"/>
              </w:rPr>
              <w:t>100000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sz w:val="21"/>
                <w:szCs w:val="21"/>
              </w:rPr>
            </w:pPr>
            <w:r>
              <w:rPr>
                <w:kern w:val="0"/>
                <w:sz w:val="21"/>
                <w:szCs w:val="21"/>
              </w:rPr>
              <w:t>100000</w:t>
            </w:r>
          </w:p>
        </w:tc>
      </w:tr>
      <w:tr>
        <w:tblPrEx>
          <w:tblCellMar>
            <w:top w:w="0" w:type="dxa"/>
            <w:left w:w="0" w:type="dxa"/>
            <w:bottom w:w="0" w:type="dxa"/>
            <w:right w:w="0" w:type="dxa"/>
          </w:tblCellMar>
        </w:tblPrEx>
        <w:trPr>
          <w:trHeight w:val="789" w:hRule="atLeast"/>
        </w:trPr>
        <w:tc>
          <w:tcPr>
            <w:tcW w:w="3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sz w:val="21"/>
                <w:szCs w:val="21"/>
              </w:rPr>
            </w:pPr>
            <w:r>
              <w:rPr>
                <w:rFonts w:hint="eastAsia"/>
                <w:kern w:val="0"/>
                <w:sz w:val="21"/>
                <w:szCs w:val="21"/>
              </w:rPr>
              <w:t>65</w:t>
            </w: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left"/>
              <w:textAlignment w:val="center"/>
              <w:rPr>
                <w:sz w:val="21"/>
                <w:szCs w:val="21"/>
              </w:rPr>
            </w:pPr>
            <w:r>
              <w:rPr>
                <w:kern w:val="0"/>
                <w:sz w:val="21"/>
                <w:szCs w:val="21"/>
              </w:rPr>
              <w:t>隆回县伏龙江马拉松赛道半马建设项目</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sz w:val="21"/>
                <w:szCs w:val="21"/>
              </w:rPr>
            </w:pPr>
            <w:r>
              <w:rPr>
                <w:kern w:val="0"/>
                <w:sz w:val="21"/>
                <w:szCs w:val="21"/>
              </w:rPr>
              <w:t>新建</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textAlignment w:val="center"/>
              <w:rPr>
                <w:sz w:val="21"/>
                <w:szCs w:val="21"/>
              </w:rPr>
            </w:pPr>
            <w:r>
              <w:rPr>
                <w:kern w:val="0"/>
                <w:sz w:val="21"/>
                <w:szCs w:val="21"/>
              </w:rPr>
              <w:t>隆回县</w:t>
            </w:r>
          </w:p>
        </w:tc>
        <w:tc>
          <w:tcPr>
            <w:tcW w:w="7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textAlignment w:val="center"/>
              <w:rPr>
                <w:sz w:val="21"/>
                <w:szCs w:val="21"/>
              </w:rPr>
            </w:pPr>
            <w:r>
              <w:rPr>
                <w:kern w:val="0"/>
                <w:sz w:val="21"/>
                <w:szCs w:val="21"/>
              </w:rPr>
              <w:t>主要内容为伏龙江马拉松赛道、登山道及附近人文景点、服务接待中心及配套设施建设。</w:t>
            </w:r>
          </w:p>
        </w:tc>
        <w:tc>
          <w:tcPr>
            <w:tcW w:w="6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sz w:val="21"/>
                <w:szCs w:val="21"/>
              </w:rPr>
            </w:pPr>
            <w:r>
              <w:rPr>
                <w:kern w:val="0"/>
                <w:sz w:val="21"/>
                <w:szCs w:val="21"/>
              </w:rPr>
              <w:t>2021</w:t>
            </w:r>
          </w:p>
        </w:tc>
        <w:tc>
          <w:tcPr>
            <w:tcW w:w="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sz w:val="21"/>
                <w:szCs w:val="21"/>
              </w:rPr>
            </w:pPr>
            <w:r>
              <w:rPr>
                <w:kern w:val="0"/>
                <w:sz w:val="21"/>
                <w:szCs w:val="21"/>
              </w:rPr>
              <w:t>2023</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sz w:val="21"/>
                <w:szCs w:val="21"/>
              </w:rPr>
            </w:pPr>
            <w:r>
              <w:rPr>
                <w:kern w:val="0"/>
                <w:sz w:val="21"/>
                <w:szCs w:val="21"/>
              </w:rPr>
              <w:t>20000</w:t>
            </w:r>
          </w:p>
        </w:tc>
        <w:tc>
          <w:tcPr>
            <w:tcW w:w="1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sz w:val="21"/>
                <w:szCs w:val="21"/>
              </w:rPr>
            </w:pPr>
            <w:r>
              <w:rPr>
                <w:kern w:val="0"/>
                <w:sz w:val="21"/>
                <w:szCs w:val="21"/>
              </w:rPr>
              <w:t>20000</w:t>
            </w:r>
          </w:p>
        </w:tc>
      </w:tr>
    </w:tbl>
    <w:p>
      <w:pPr>
        <w:ind w:firstLine="560"/>
      </w:pPr>
    </w:p>
    <w:sectPr>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40001" w:csb1="00000000"/>
  </w:font>
  <w:font w:name="Calibri Light">
    <w:panose1 w:val="020F0302020204030204"/>
    <w:charset w:val="00"/>
    <w:family w:val="swiss"/>
    <w:pitch w:val="default"/>
    <w:sig w:usb0="E4002EFF" w:usb1="C000247B" w:usb2="00000009" w:usb3="00000000" w:csb0="200001FF" w:csb1="00000000"/>
  </w:font>
  <w:font w:name="方正小标宋简体">
    <w:altName w:val="黑体"/>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方正楷体_GBK">
    <w:altName w:val="微软雅黑"/>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77554555"/>
                          </w:sdtPr>
                          <w:sdtContent>
                            <w:p>
                              <w:pPr>
                                <w:pStyle w:val="14"/>
                                <w:ind w:firstLine="360"/>
                              </w:pPr>
                              <w:r>
                                <w:fldChar w:fldCharType="begin"/>
                              </w:r>
                              <w:r>
                                <w:instrText xml:space="preserve">PAGE   \* MERGEFORMAT</w:instrText>
                              </w:r>
                              <w:r>
                                <w:fldChar w:fldCharType="separate"/>
                              </w:r>
                              <w:r>
                                <w:rPr>
                                  <w:lang w:val="zh-CN"/>
                                </w:rPr>
                                <w:t>2</w:t>
                              </w:r>
                              <w:r>
                                <w:fldChar w:fldCharType="end"/>
                              </w:r>
                            </w:p>
                          </w:sdtContent>
                        </w:sdt>
                        <w:p>
                          <w:pPr>
                            <w:pStyle w:val="2"/>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577554555"/>
                    </w:sdtPr>
                    <w:sdtContent>
                      <w:p>
                        <w:pPr>
                          <w:pStyle w:val="14"/>
                          <w:ind w:firstLine="360"/>
                        </w:pPr>
                        <w:r>
                          <w:fldChar w:fldCharType="begin"/>
                        </w:r>
                        <w:r>
                          <w:instrText xml:space="preserve">PAGE   \* MERGEFORMAT</w:instrText>
                        </w:r>
                        <w:r>
                          <w:fldChar w:fldCharType="separate"/>
                        </w:r>
                        <w:r>
                          <w:rPr>
                            <w:lang w:val="zh-CN"/>
                          </w:rPr>
                          <w:t>2</w:t>
                        </w:r>
                        <w:r>
                          <w:fldChar w:fldCharType="end"/>
                        </w:r>
                      </w:p>
                    </w:sdtContent>
                  </w:sdt>
                  <w:p>
                    <w:pPr>
                      <w:pStyle w:val="2"/>
                      <w:ind w:firstLine="480"/>
                    </w:pPr>
                  </w:p>
                </w:txbxContent>
              </v:textbox>
            </v:shape>
          </w:pict>
        </mc:Fallback>
      </mc:AlternateContent>
    </w:r>
  </w:p>
  <w:p>
    <w:pPr>
      <w:pStyle w:val="14"/>
      <w:ind w:firstLine="0" w:firstLineChars="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gyMjZhYWNjMGI5ZWMxZGYyOWIwMzYyNzQ0ZmQ0YTUifQ=="/>
  </w:docVars>
  <w:rsids>
    <w:rsidRoot w:val="69B41785"/>
    <w:rsid w:val="00003677"/>
    <w:rsid w:val="0000685C"/>
    <w:rsid w:val="00014934"/>
    <w:rsid w:val="00015BF4"/>
    <w:rsid w:val="00021327"/>
    <w:rsid w:val="00027999"/>
    <w:rsid w:val="000536C0"/>
    <w:rsid w:val="000571BF"/>
    <w:rsid w:val="0006721C"/>
    <w:rsid w:val="000757BB"/>
    <w:rsid w:val="000764B8"/>
    <w:rsid w:val="00083984"/>
    <w:rsid w:val="00087D54"/>
    <w:rsid w:val="000918F7"/>
    <w:rsid w:val="0009452D"/>
    <w:rsid w:val="000B3714"/>
    <w:rsid w:val="000B4D23"/>
    <w:rsid w:val="000C6A77"/>
    <w:rsid w:val="000D5F74"/>
    <w:rsid w:val="000E1BF8"/>
    <w:rsid w:val="000F2F3C"/>
    <w:rsid w:val="001004FF"/>
    <w:rsid w:val="00104ED1"/>
    <w:rsid w:val="00112676"/>
    <w:rsid w:val="00117AF8"/>
    <w:rsid w:val="00142748"/>
    <w:rsid w:val="00151C43"/>
    <w:rsid w:val="001608DD"/>
    <w:rsid w:val="001965BD"/>
    <w:rsid w:val="001A09BD"/>
    <w:rsid w:val="001A3997"/>
    <w:rsid w:val="001A5868"/>
    <w:rsid w:val="001C20CD"/>
    <w:rsid w:val="001E077C"/>
    <w:rsid w:val="001F3D9F"/>
    <w:rsid w:val="0022628B"/>
    <w:rsid w:val="00241986"/>
    <w:rsid w:val="00251730"/>
    <w:rsid w:val="002525D3"/>
    <w:rsid w:val="002903FB"/>
    <w:rsid w:val="002D4665"/>
    <w:rsid w:val="002D5750"/>
    <w:rsid w:val="002D5896"/>
    <w:rsid w:val="002E2D90"/>
    <w:rsid w:val="0031771C"/>
    <w:rsid w:val="00323B9B"/>
    <w:rsid w:val="0032414A"/>
    <w:rsid w:val="003272A7"/>
    <w:rsid w:val="0034667C"/>
    <w:rsid w:val="003578BF"/>
    <w:rsid w:val="0037740A"/>
    <w:rsid w:val="003934E8"/>
    <w:rsid w:val="00394759"/>
    <w:rsid w:val="003A67E7"/>
    <w:rsid w:val="003B0AE8"/>
    <w:rsid w:val="003B23C0"/>
    <w:rsid w:val="003B4DFC"/>
    <w:rsid w:val="003C28E2"/>
    <w:rsid w:val="003C6843"/>
    <w:rsid w:val="003F1C56"/>
    <w:rsid w:val="003F50C6"/>
    <w:rsid w:val="003F53AD"/>
    <w:rsid w:val="0040027D"/>
    <w:rsid w:val="00421085"/>
    <w:rsid w:val="004239EE"/>
    <w:rsid w:val="0044257C"/>
    <w:rsid w:val="0044545A"/>
    <w:rsid w:val="00457180"/>
    <w:rsid w:val="00457AE6"/>
    <w:rsid w:val="00463654"/>
    <w:rsid w:val="00466406"/>
    <w:rsid w:val="00467595"/>
    <w:rsid w:val="0047131D"/>
    <w:rsid w:val="00471AA4"/>
    <w:rsid w:val="00474632"/>
    <w:rsid w:val="00474E73"/>
    <w:rsid w:val="004803E1"/>
    <w:rsid w:val="00490211"/>
    <w:rsid w:val="00492674"/>
    <w:rsid w:val="004B1271"/>
    <w:rsid w:val="004D1A99"/>
    <w:rsid w:val="004D75A5"/>
    <w:rsid w:val="004E2ECE"/>
    <w:rsid w:val="004F1788"/>
    <w:rsid w:val="004F41FD"/>
    <w:rsid w:val="00504BF5"/>
    <w:rsid w:val="00505428"/>
    <w:rsid w:val="00510E62"/>
    <w:rsid w:val="005116A3"/>
    <w:rsid w:val="00514C2F"/>
    <w:rsid w:val="005207F1"/>
    <w:rsid w:val="00566920"/>
    <w:rsid w:val="00577076"/>
    <w:rsid w:val="0057710C"/>
    <w:rsid w:val="005A3733"/>
    <w:rsid w:val="005A6949"/>
    <w:rsid w:val="005B5681"/>
    <w:rsid w:val="005C320A"/>
    <w:rsid w:val="005D41D9"/>
    <w:rsid w:val="005F2586"/>
    <w:rsid w:val="005F52F8"/>
    <w:rsid w:val="005F544B"/>
    <w:rsid w:val="00603F51"/>
    <w:rsid w:val="0060706B"/>
    <w:rsid w:val="00612502"/>
    <w:rsid w:val="006631C3"/>
    <w:rsid w:val="00672487"/>
    <w:rsid w:val="00674C6C"/>
    <w:rsid w:val="00675A71"/>
    <w:rsid w:val="0068426D"/>
    <w:rsid w:val="006A493E"/>
    <w:rsid w:val="006B312B"/>
    <w:rsid w:val="006B6700"/>
    <w:rsid w:val="006C32BA"/>
    <w:rsid w:val="006E3E8F"/>
    <w:rsid w:val="006F4FD4"/>
    <w:rsid w:val="006F541D"/>
    <w:rsid w:val="006F7C93"/>
    <w:rsid w:val="00710925"/>
    <w:rsid w:val="00732698"/>
    <w:rsid w:val="007337F4"/>
    <w:rsid w:val="007348A4"/>
    <w:rsid w:val="007476D1"/>
    <w:rsid w:val="00756486"/>
    <w:rsid w:val="00785F29"/>
    <w:rsid w:val="00786D3A"/>
    <w:rsid w:val="00786F19"/>
    <w:rsid w:val="00792848"/>
    <w:rsid w:val="007B247E"/>
    <w:rsid w:val="007B72E9"/>
    <w:rsid w:val="007C26BA"/>
    <w:rsid w:val="007E1853"/>
    <w:rsid w:val="007E445D"/>
    <w:rsid w:val="007E57A6"/>
    <w:rsid w:val="007E5B83"/>
    <w:rsid w:val="007F242C"/>
    <w:rsid w:val="00801BD7"/>
    <w:rsid w:val="008047A5"/>
    <w:rsid w:val="008064FE"/>
    <w:rsid w:val="00807667"/>
    <w:rsid w:val="008138E2"/>
    <w:rsid w:val="00816036"/>
    <w:rsid w:val="00821597"/>
    <w:rsid w:val="00867145"/>
    <w:rsid w:val="0087159D"/>
    <w:rsid w:val="008833D0"/>
    <w:rsid w:val="00890B86"/>
    <w:rsid w:val="008D2899"/>
    <w:rsid w:val="008D4AFA"/>
    <w:rsid w:val="008E2074"/>
    <w:rsid w:val="008E367F"/>
    <w:rsid w:val="009002D1"/>
    <w:rsid w:val="009004C6"/>
    <w:rsid w:val="00900906"/>
    <w:rsid w:val="00903795"/>
    <w:rsid w:val="0090688D"/>
    <w:rsid w:val="00910221"/>
    <w:rsid w:val="0091662F"/>
    <w:rsid w:val="00925AD0"/>
    <w:rsid w:val="00953B3E"/>
    <w:rsid w:val="00954B8A"/>
    <w:rsid w:val="00964A7E"/>
    <w:rsid w:val="009726A3"/>
    <w:rsid w:val="009738C1"/>
    <w:rsid w:val="009B2B33"/>
    <w:rsid w:val="009C670B"/>
    <w:rsid w:val="009F7E4A"/>
    <w:rsid w:val="00A158BE"/>
    <w:rsid w:val="00A43EEA"/>
    <w:rsid w:val="00A50B3A"/>
    <w:rsid w:val="00A77E67"/>
    <w:rsid w:val="00AA664E"/>
    <w:rsid w:val="00AC1C91"/>
    <w:rsid w:val="00AC3AA7"/>
    <w:rsid w:val="00AC65AE"/>
    <w:rsid w:val="00AC6BA5"/>
    <w:rsid w:val="00AC7633"/>
    <w:rsid w:val="00AD1CDA"/>
    <w:rsid w:val="00AD6C32"/>
    <w:rsid w:val="00B01CBE"/>
    <w:rsid w:val="00B30BAF"/>
    <w:rsid w:val="00B4673A"/>
    <w:rsid w:val="00B47F89"/>
    <w:rsid w:val="00B55B0F"/>
    <w:rsid w:val="00B5686F"/>
    <w:rsid w:val="00B56B3B"/>
    <w:rsid w:val="00B6114B"/>
    <w:rsid w:val="00B665AD"/>
    <w:rsid w:val="00B877E9"/>
    <w:rsid w:val="00BA31F6"/>
    <w:rsid w:val="00BA58DA"/>
    <w:rsid w:val="00BA7744"/>
    <w:rsid w:val="00BB75F2"/>
    <w:rsid w:val="00BC7E32"/>
    <w:rsid w:val="00C042DD"/>
    <w:rsid w:val="00C23AE3"/>
    <w:rsid w:val="00C269F7"/>
    <w:rsid w:val="00C45230"/>
    <w:rsid w:val="00C534BB"/>
    <w:rsid w:val="00C549C9"/>
    <w:rsid w:val="00C55AF3"/>
    <w:rsid w:val="00C57839"/>
    <w:rsid w:val="00C705A0"/>
    <w:rsid w:val="00C83584"/>
    <w:rsid w:val="00C90011"/>
    <w:rsid w:val="00C92141"/>
    <w:rsid w:val="00C92ED6"/>
    <w:rsid w:val="00CA1517"/>
    <w:rsid w:val="00CB052B"/>
    <w:rsid w:val="00CB2E85"/>
    <w:rsid w:val="00CC5371"/>
    <w:rsid w:val="00CC7EB0"/>
    <w:rsid w:val="00D01F37"/>
    <w:rsid w:val="00D0548C"/>
    <w:rsid w:val="00D15E90"/>
    <w:rsid w:val="00D24F64"/>
    <w:rsid w:val="00D31488"/>
    <w:rsid w:val="00D34F59"/>
    <w:rsid w:val="00D52824"/>
    <w:rsid w:val="00D66A82"/>
    <w:rsid w:val="00D72C59"/>
    <w:rsid w:val="00D73990"/>
    <w:rsid w:val="00D83ABF"/>
    <w:rsid w:val="00D94246"/>
    <w:rsid w:val="00D9431A"/>
    <w:rsid w:val="00DB1DF0"/>
    <w:rsid w:val="00DB24F8"/>
    <w:rsid w:val="00DD7A99"/>
    <w:rsid w:val="00DE40BB"/>
    <w:rsid w:val="00E34AC0"/>
    <w:rsid w:val="00E478AC"/>
    <w:rsid w:val="00E7575B"/>
    <w:rsid w:val="00E80E5C"/>
    <w:rsid w:val="00E92032"/>
    <w:rsid w:val="00EA4AF7"/>
    <w:rsid w:val="00ED4A29"/>
    <w:rsid w:val="00EF1FCB"/>
    <w:rsid w:val="00F01C29"/>
    <w:rsid w:val="00F06842"/>
    <w:rsid w:val="00F1596C"/>
    <w:rsid w:val="00F167C7"/>
    <w:rsid w:val="00F254DB"/>
    <w:rsid w:val="00F3566D"/>
    <w:rsid w:val="00F405B7"/>
    <w:rsid w:val="00F53953"/>
    <w:rsid w:val="00F545BC"/>
    <w:rsid w:val="00F61E6D"/>
    <w:rsid w:val="00F6329F"/>
    <w:rsid w:val="00F725FE"/>
    <w:rsid w:val="00F7519A"/>
    <w:rsid w:val="00F757D2"/>
    <w:rsid w:val="00F90C22"/>
    <w:rsid w:val="00F93061"/>
    <w:rsid w:val="00F94BA5"/>
    <w:rsid w:val="00F95FA9"/>
    <w:rsid w:val="00FA3194"/>
    <w:rsid w:val="00FB03DD"/>
    <w:rsid w:val="00FB3BEA"/>
    <w:rsid w:val="00FC34DD"/>
    <w:rsid w:val="00FC5809"/>
    <w:rsid w:val="00FC6081"/>
    <w:rsid w:val="00FD3445"/>
    <w:rsid w:val="00FE2980"/>
    <w:rsid w:val="00FF1695"/>
    <w:rsid w:val="01743030"/>
    <w:rsid w:val="021263AE"/>
    <w:rsid w:val="05591530"/>
    <w:rsid w:val="05EF3E18"/>
    <w:rsid w:val="0A5A4934"/>
    <w:rsid w:val="0DC11B78"/>
    <w:rsid w:val="100C4193"/>
    <w:rsid w:val="107C4DEF"/>
    <w:rsid w:val="10A07E73"/>
    <w:rsid w:val="119A7A09"/>
    <w:rsid w:val="12181B68"/>
    <w:rsid w:val="126B4252"/>
    <w:rsid w:val="128D545F"/>
    <w:rsid w:val="135341D1"/>
    <w:rsid w:val="1394472E"/>
    <w:rsid w:val="165F60A6"/>
    <w:rsid w:val="18454305"/>
    <w:rsid w:val="1F1C2CFC"/>
    <w:rsid w:val="206B4A18"/>
    <w:rsid w:val="208C0D6A"/>
    <w:rsid w:val="210A2F96"/>
    <w:rsid w:val="238479F5"/>
    <w:rsid w:val="24517894"/>
    <w:rsid w:val="265664C8"/>
    <w:rsid w:val="271D216A"/>
    <w:rsid w:val="295233F4"/>
    <w:rsid w:val="2C44550F"/>
    <w:rsid w:val="2D837230"/>
    <w:rsid w:val="323936B5"/>
    <w:rsid w:val="32AA3769"/>
    <w:rsid w:val="34D83535"/>
    <w:rsid w:val="367E3966"/>
    <w:rsid w:val="36BF1E4B"/>
    <w:rsid w:val="39C82503"/>
    <w:rsid w:val="3E373AAB"/>
    <w:rsid w:val="3E773F38"/>
    <w:rsid w:val="3E816602"/>
    <w:rsid w:val="3EF00AF6"/>
    <w:rsid w:val="407C5633"/>
    <w:rsid w:val="40887A81"/>
    <w:rsid w:val="414E5DC0"/>
    <w:rsid w:val="421F57A5"/>
    <w:rsid w:val="43ED11C1"/>
    <w:rsid w:val="441F6226"/>
    <w:rsid w:val="457551F1"/>
    <w:rsid w:val="46AA7788"/>
    <w:rsid w:val="48150F23"/>
    <w:rsid w:val="48841253"/>
    <w:rsid w:val="48A27FE2"/>
    <w:rsid w:val="48B05F54"/>
    <w:rsid w:val="4B464575"/>
    <w:rsid w:val="4BCB33AD"/>
    <w:rsid w:val="4F787D38"/>
    <w:rsid w:val="4F9D613A"/>
    <w:rsid w:val="5149719B"/>
    <w:rsid w:val="551718AA"/>
    <w:rsid w:val="57CC16B3"/>
    <w:rsid w:val="58BE7DCB"/>
    <w:rsid w:val="5A046936"/>
    <w:rsid w:val="5A9C7691"/>
    <w:rsid w:val="5B7E6938"/>
    <w:rsid w:val="5C286123"/>
    <w:rsid w:val="5EE34F3D"/>
    <w:rsid w:val="60D815C6"/>
    <w:rsid w:val="62192686"/>
    <w:rsid w:val="62593FD9"/>
    <w:rsid w:val="644615DA"/>
    <w:rsid w:val="64AE1590"/>
    <w:rsid w:val="671C4D42"/>
    <w:rsid w:val="69B41785"/>
    <w:rsid w:val="69D2272D"/>
    <w:rsid w:val="69FD5756"/>
    <w:rsid w:val="6DEB7959"/>
    <w:rsid w:val="6F110CA2"/>
    <w:rsid w:val="705322ED"/>
    <w:rsid w:val="70DC0AB4"/>
    <w:rsid w:val="710C7734"/>
    <w:rsid w:val="721C6361"/>
    <w:rsid w:val="74597335"/>
    <w:rsid w:val="75DA55C2"/>
    <w:rsid w:val="76386C2E"/>
    <w:rsid w:val="77241A98"/>
    <w:rsid w:val="79186346"/>
    <w:rsid w:val="7A222E7E"/>
    <w:rsid w:val="7AA26479"/>
    <w:rsid w:val="7C171AA4"/>
    <w:rsid w:val="7C213DA4"/>
    <w:rsid w:val="7D882D0D"/>
    <w:rsid w:val="7DED2688"/>
    <w:rsid w:val="7F1B1466"/>
    <w:rsid w:val="7F632216"/>
    <w:rsid w:val="7FF817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1440" w:firstLineChars="200"/>
      <w:jc w:val="both"/>
    </w:pPr>
    <w:rPr>
      <w:rFonts w:ascii="Times New Roman" w:hAnsi="Times New Roman" w:eastAsia="仿宋" w:cs="Times New Roman"/>
      <w:kern w:val="2"/>
      <w:sz w:val="28"/>
      <w:szCs w:val="24"/>
      <w:lang w:val="en-US" w:eastAsia="zh-CN" w:bidi="ar-SA"/>
    </w:rPr>
  </w:style>
  <w:style w:type="paragraph" w:styleId="4">
    <w:name w:val="heading 1"/>
    <w:basedOn w:val="1"/>
    <w:next w:val="1"/>
    <w:link w:val="28"/>
    <w:qFormat/>
    <w:uiPriority w:val="0"/>
    <w:pPr>
      <w:keepNext/>
      <w:keepLines/>
      <w:spacing w:line="600" w:lineRule="exact"/>
      <w:jc w:val="center"/>
      <w:outlineLvl w:val="0"/>
    </w:pPr>
    <w:rPr>
      <w:b/>
      <w:bCs/>
      <w:kern w:val="44"/>
      <w:sz w:val="44"/>
      <w:szCs w:val="44"/>
    </w:rPr>
  </w:style>
  <w:style w:type="paragraph" w:styleId="5">
    <w:name w:val="heading 2"/>
    <w:basedOn w:val="1"/>
    <w:next w:val="1"/>
    <w:link w:val="27"/>
    <w:unhideWhenUsed/>
    <w:qFormat/>
    <w:uiPriority w:val="0"/>
    <w:pPr>
      <w:widowControl/>
      <w:spacing w:before="72" w:beforeAutospacing="1" w:afterAutospacing="1"/>
      <w:jc w:val="left"/>
      <w:outlineLvl w:val="1"/>
    </w:pPr>
    <w:rPr>
      <w:rFonts w:ascii="宋体" w:hAnsi="宋体" w:cs="宋体"/>
      <w:b/>
      <w:bCs/>
      <w:kern w:val="0"/>
      <w:sz w:val="32"/>
      <w:szCs w:val="36"/>
    </w:rPr>
  </w:style>
  <w:style w:type="paragraph" w:styleId="6">
    <w:name w:val="heading 3"/>
    <w:basedOn w:val="1"/>
    <w:next w:val="1"/>
    <w:link w:val="29"/>
    <w:unhideWhenUsed/>
    <w:qFormat/>
    <w:uiPriority w:val="0"/>
    <w:pPr>
      <w:keepNext/>
      <w:keepLines/>
      <w:spacing w:line="600" w:lineRule="exact"/>
      <w:outlineLvl w:val="2"/>
    </w:pPr>
    <w:rPr>
      <w:b/>
      <w:bCs/>
      <w:szCs w:val="32"/>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30"/>
    <w:qFormat/>
    <w:uiPriority w:val="0"/>
    <w:pPr>
      <w:spacing w:before="240" w:line="380" w:lineRule="exact"/>
    </w:pPr>
    <w:rPr>
      <w:rFonts w:ascii="宋体"/>
      <w:sz w:val="24"/>
      <w:szCs w:val="20"/>
    </w:rPr>
  </w:style>
  <w:style w:type="paragraph" w:styleId="3">
    <w:name w:val="Body Text 2"/>
    <w:basedOn w:val="1"/>
    <w:qFormat/>
    <w:uiPriority w:val="0"/>
    <w:pPr>
      <w:adjustRightInd w:val="0"/>
      <w:snapToGrid w:val="0"/>
      <w:spacing w:line="300" w:lineRule="auto"/>
    </w:pPr>
    <w:rPr>
      <w:rFonts w:ascii="宋体" w:hAnsi="宋体" w:eastAsia="仿宋_GB2312"/>
    </w:rPr>
  </w:style>
  <w:style w:type="paragraph" w:styleId="7">
    <w:name w:val="toc 7"/>
    <w:basedOn w:val="1"/>
    <w:next w:val="1"/>
    <w:unhideWhenUsed/>
    <w:qFormat/>
    <w:uiPriority w:val="39"/>
    <w:pPr>
      <w:ind w:left="2520" w:leftChars="1200" w:firstLine="0" w:firstLineChars="0"/>
    </w:pPr>
    <w:rPr>
      <w:rFonts w:asciiTheme="minorHAnsi" w:hAnsiTheme="minorHAnsi" w:eastAsiaTheme="minorEastAsia" w:cstheme="minorBidi"/>
      <w:sz w:val="21"/>
      <w:szCs w:val="22"/>
    </w:rPr>
  </w:style>
  <w:style w:type="paragraph" w:styleId="8">
    <w:name w:val="index 5"/>
    <w:basedOn w:val="1"/>
    <w:next w:val="1"/>
    <w:qFormat/>
    <w:uiPriority w:val="0"/>
    <w:pPr>
      <w:ind w:left="1680"/>
    </w:pPr>
  </w:style>
  <w:style w:type="paragraph" w:styleId="9">
    <w:name w:val="toc 5"/>
    <w:basedOn w:val="1"/>
    <w:next w:val="1"/>
    <w:unhideWhenUsed/>
    <w:qFormat/>
    <w:uiPriority w:val="39"/>
    <w:pPr>
      <w:ind w:left="1680" w:leftChars="800" w:firstLine="0" w:firstLineChars="0"/>
    </w:pPr>
    <w:rPr>
      <w:rFonts w:asciiTheme="minorHAnsi" w:hAnsiTheme="minorHAnsi" w:eastAsiaTheme="minorEastAsia" w:cstheme="minorBidi"/>
      <w:sz w:val="21"/>
      <w:szCs w:val="22"/>
    </w:rPr>
  </w:style>
  <w:style w:type="paragraph" w:styleId="10">
    <w:name w:val="toc 3"/>
    <w:basedOn w:val="1"/>
    <w:next w:val="1"/>
    <w:qFormat/>
    <w:uiPriority w:val="39"/>
    <w:pPr>
      <w:ind w:left="840" w:leftChars="400"/>
    </w:pPr>
  </w:style>
  <w:style w:type="paragraph" w:styleId="11">
    <w:name w:val="toc 8"/>
    <w:basedOn w:val="1"/>
    <w:next w:val="1"/>
    <w:unhideWhenUsed/>
    <w:qFormat/>
    <w:uiPriority w:val="39"/>
    <w:pPr>
      <w:ind w:left="2940" w:leftChars="1400" w:firstLine="0" w:firstLineChars="0"/>
    </w:pPr>
    <w:rPr>
      <w:rFonts w:asciiTheme="minorHAnsi" w:hAnsiTheme="minorHAnsi" w:eastAsiaTheme="minorEastAsia" w:cstheme="minorBidi"/>
      <w:sz w:val="21"/>
      <w:szCs w:val="22"/>
    </w:rPr>
  </w:style>
  <w:style w:type="paragraph" w:styleId="12">
    <w:name w:val="Date"/>
    <w:basedOn w:val="1"/>
    <w:next w:val="1"/>
    <w:link w:val="68"/>
    <w:qFormat/>
    <w:uiPriority w:val="0"/>
    <w:pPr>
      <w:ind w:left="100" w:leftChars="2500"/>
    </w:pPr>
  </w:style>
  <w:style w:type="paragraph" w:styleId="13">
    <w:name w:val="Balloon Text"/>
    <w:basedOn w:val="1"/>
    <w:link w:val="31"/>
    <w:qFormat/>
    <w:uiPriority w:val="0"/>
    <w:rPr>
      <w:sz w:val="18"/>
      <w:szCs w:val="18"/>
    </w:rPr>
  </w:style>
  <w:style w:type="paragraph" w:styleId="14">
    <w:name w:val="footer"/>
    <w:basedOn w:val="1"/>
    <w:next w:val="8"/>
    <w:link w:val="32"/>
    <w:qFormat/>
    <w:uiPriority w:val="99"/>
    <w:pPr>
      <w:tabs>
        <w:tab w:val="center" w:pos="4153"/>
        <w:tab w:val="right" w:pos="8306"/>
      </w:tabs>
      <w:snapToGrid w:val="0"/>
      <w:jc w:val="left"/>
    </w:pPr>
    <w:rPr>
      <w:sz w:val="18"/>
      <w:szCs w:val="18"/>
    </w:rPr>
  </w:style>
  <w:style w:type="paragraph" w:styleId="15">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style>
  <w:style w:type="paragraph" w:styleId="17">
    <w:name w:val="toc 4"/>
    <w:basedOn w:val="1"/>
    <w:next w:val="1"/>
    <w:unhideWhenUsed/>
    <w:qFormat/>
    <w:uiPriority w:val="39"/>
    <w:pPr>
      <w:ind w:left="1260" w:leftChars="600" w:firstLine="0" w:firstLineChars="0"/>
    </w:pPr>
    <w:rPr>
      <w:rFonts w:asciiTheme="minorHAnsi" w:hAnsiTheme="minorHAnsi" w:eastAsiaTheme="minorEastAsia" w:cstheme="minorBidi"/>
      <w:sz w:val="21"/>
      <w:szCs w:val="22"/>
    </w:rPr>
  </w:style>
  <w:style w:type="paragraph" w:styleId="18">
    <w:name w:val="toc 6"/>
    <w:basedOn w:val="1"/>
    <w:next w:val="1"/>
    <w:unhideWhenUsed/>
    <w:qFormat/>
    <w:uiPriority w:val="39"/>
    <w:pPr>
      <w:ind w:left="2100" w:leftChars="1000" w:firstLine="0" w:firstLineChars="0"/>
    </w:pPr>
    <w:rPr>
      <w:rFonts w:asciiTheme="minorHAnsi" w:hAnsiTheme="minorHAnsi" w:eastAsiaTheme="minorEastAsia" w:cstheme="minorBidi"/>
      <w:sz w:val="21"/>
      <w:szCs w:val="22"/>
    </w:rPr>
  </w:style>
  <w:style w:type="paragraph" w:styleId="19">
    <w:name w:val="toc 2"/>
    <w:basedOn w:val="1"/>
    <w:next w:val="1"/>
    <w:qFormat/>
    <w:uiPriority w:val="39"/>
    <w:pPr>
      <w:ind w:left="420" w:leftChars="200"/>
    </w:pPr>
  </w:style>
  <w:style w:type="paragraph" w:styleId="20">
    <w:name w:val="toc 9"/>
    <w:basedOn w:val="1"/>
    <w:next w:val="1"/>
    <w:unhideWhenUsed/>
    <w:qFormat/>
    <w:uiPriority w:val="39"/>
    <w:pPr>
      <w:ind w:left="3360" w:leftChars="1600" w:firstLine="0" w:firstLineChars="0"/>
    </w:pPr>
    <w:rPr>
      <w:rFonts w:asciiTheme="minorHAnsi" w:hAnsiTheme="minorHAnsi" w:eastAsiaTheme="minorEastAsia" w:cstheme="minorBidi"/>
      <w:sz w:val="21"/>
      <w:szCs w:val="22"/>
    </w:rPr>
  </w:style>
  <w:style w:type="paragraph" w:styleId="21">
    <w:name w:val="HTML Preformatted"/>
    <w:basedOn w:val="1"/>
    <w:link w:val="69"/>
    <w:semiHidden/>
    <w:unhideWhenUsed/>
    <w:qFormat/>
    <w:uiPriority w:val="0"/>
    <w:rPr>
      <w:rFonts w:ascii="Courier New" w:hAnsi="Courier New" w:cs="Courier New"/>
      <w:sz w:val="20"/>
      <w:szCs w:val="20"/>
    </w:rPr>
  </w:style>
  <w:style w:type="paragraph" w:styleId="22">
    <w:name w:val="Normal (Web)"/>
    <w:basedOn w:val="1"/>
    <w:qFormat/>
    <w:uiPriority w:val="0"/>
    <w:pPr>
      <w:jc w:val="left"/>
    </w:pPr>
    <w:rPr>
      <w:kern w:val="0"/>
      <w:sz w:val="24"/>
    </w:rPr>
  </w:style>
  <w:style w:type="character" w:styleId="25">
    <w:name w:val="Strong"/>
    <w:basedOn w:val="24"/>
    <w:qFormat/>
    <w:uiPriority w:val="0"/>
    <w:rPr>
      <w:b/>
    </w:rPr>
  </w:style>
  <w:style w:type="character" w:styleId="26">
    <w:name w:val="Hyperlink"/>
    <w:basedOn w:val="24"/>
    <w:qFormat/>
    <w:uiPriority w:val="99"/>
    <w:rPr>
      <w:color w:val="0000FF"/>
      <w:u w:val="single"/>
    </w:rPr>
  </w:style>
  <w:style w:type="character" w:customStyle="1" w:styleId="27">
    <w:name w:val="标题 2 字符"/>
    <w:basedOn w:val="24"/>
    <w:link w:val="5"/>
    <w:qFormat/>
    <w:uiPriority w:val="9"/>
    <w:rPr>
      <w:rFonts w:ascii="宋体" w:hAnsi="宋体" w:eastAsia="仿宋" w:cs="宋体"/>
      <w:b/>
      <w:bCs/>
      <w:kern w:val="0"/>
      <w:sz w:val="32"/>
      <w:szCs w:val="36"/>
    </w:rPr>
  </w:style>
  <w:style w:type="character" w:customStyle="1" w:styleId="28">
    <w:name w:val="标题 1 字符"/>
    <w:basedOn w:val="24"/>
    <w:link w:val="4"/>
    <w:qFormat/>
    <w:uiPriority w:val="9"/>
    <w:rPr>
      <w:rFonts w:eastAsia="仿宋"/>
      <w:b/>
      <w:bCs/>
      <w:kern w:val="44"/>
      <w:sz w:val="44"/>
      <w:szCs w:val="44"/>
    </w:rPr>
  </w:style>
  <w:style w:type="character" w:customStyle="1" w:styleId="29">
    <w:name w:val="标题 3 字符"/>
    <w:basedOn w:val="24"/>
    <w:link w:val="6"/>
    <w:semiHidden/>
    <w:qFormat/>
    <w:uiPriority w:val="9"/>
    <w:rPr>
      <w:rFonts w:eastAsia="仿宋"/>
      <w:b/>
      <w:bCs/>
      <w:sz w:val="28"/>
      <w:szCs w:val="32"/>
    </w:rPr>
  </w:style>
  <w:style w:type="character" w:customStyle="1" w:styleId="30">
    <w:name w:val="正文文本 字符"/>
    <w:link w:val="2"/>
    <w:qFormat/>
    <w:uiPriority w:val="0"/>
    <w:rPr>
      <w:rFonts w:ascii="宋体"/>
      <w:sz w:val="24"/>
      <w:szCs w:val="20"/>
    </w:rPr>
  </w:style>
  <w:style w:type="character" w:customStyle="1" w:styleId="31">
    <w:name w:val="批注框文本 字符"/>
    <w:basedOn w:val="24"/>
    <w:link w:val="13"/>
    <w:qFormat/>
    <w:uiPriority w:val="0"/>
    <w:rPr>
      <w:kern w:val="2"/>
      <w:sz w:val="18"/>
      <w:szCs w:val="18"/>
    </w:rPr>
  </w:style>
  <w:style w:type="character" w:customStyle="1" w:styleId="32">
    <w:name w:val="页脚 字符"/>
    <w:basedOn w:val="24"/>
    <w:link w:val="14"/>
    <w:qFormat/>
    <w:uiPriority w:val="99"/>
    <w:rPr>
      <w:kern w:val="2"/>
      <w:sz w:val="18"/>
      <w:szCs w:val="18"/>
    </w:rPr>
  </w:style>
  <w:style w:type="character" w:customStyle="1" w:styleId="33">
    <w:name w:val="页眉 字符"/>
    <w:basedOn w:val="24"/>
    <w:link w:val="15"/>
    <w:qFormat/>
    <w:uiPriority w:val="0"/>
    <w:rPr>
      <w:kern w:val="2"/>
      <w:sz w:val="18"/>
      <w:szCs w:val="18"/>
    </w:rPr>
  </w:style>
  <w:style w:type="paragraph" w:styleId="34">
    <w:name w:val="List Paragraph"/>
    <w:basedOn w:val="1"/>
    <w:qFormat/>
    <w:uiPriority w:val="34"/>
    <w:pPr>
      <w:ind w:firstLine="420"/>
    </w:pPr>
  </w:style>
  <w:style w:type="paragraph" w:customStyle="1" w:styleId="35">
    <w:name w:val="正文文字"/>
    <w:basedOn w:val="1"/>
    <w:next w:val="1"/>
    <w:qFormat/>
    <w:uiPriority w:val="0"/>
    <w:pPr>
      <w:spacing w:after="120"/>
    </w:pPr>
  </w:style>
  <w:style w:type="paragraph" w:customStyle="1" w:styleId="36">
    <w:name w:val="WPSOffice手动目录 1"/>
    <w:qFormat/>
    <w:uiPriority w:val="0"/>
    <w:rPr>
      <w:rFonts w:ascii="Times New Roman" w:hAnsi="Times New Roman" w:eastAsia="宋体" w:cs="Times New Roman"/>
      <w:lang w:val="en-US" w:eastAsia="zh-CN" w:bidi="ar-SA"/>
    </w:rPr>
  </w:style>
  <w:style w:type="paragraph" w:customStyle="1" w:styleId="3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8">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9">
    <w:name w:val="last"/>
    <w:basedOn w:val="24"/>
    <w:qFormat/>
    <w:uiPriority w:val="0"/>
  </w:style>
  <w:style w:type="character" w:customStyle="1" w:styleId="40">
    <w:name w:val="last1"/>
    <w:basedOn w:val="24"/>
    <w:qFormat/>
    <w:uiPriority w:val="0"/>
  </w:style>
  <w:style w:type="character" w:customStyle="1" w:styleId="41">
    <w:name w:val="first-child"/>
    <w:basedOn w:val="24"/>
    <w:qFormat/>
    <w:uiPriority w:val="0"/>
    <w:rPr>
      <w:color w:val="BD1B09"/>
    </w:rPr>
  </w:style>
  <w:style w:type="character" w:customStyle="1" w:styleId="42">
    <w:name w:val="first-child1"/>
    <w:basedOn w:val="24"/>
    <w:qFormat/>
    <w:uiPriority w:val="0"/>
    <w:rPr>
      <w:color w:val="878787"/>
      <w:sz w:val="36"/>
      <w:szCs w:val="36"/>
      <w:shd w:val="clear" w:color="auto" w:fill="FFFFFF"/>
    </w:rPr>
  </w:style>
  <w:style w:type="character" w:customStyle="1" w:styleId="43">
    <w:name w:val="ldjs"/>
    <w:basedOn w:val="24"/>
    <w:qFormat/>
    <w:uiPriority w:val="0"/>
    <w:rPr>
      <w:color w:val="666666"/>
      <w:sz w:val="24"/>
      <w:szCs w:val="24"/>
    </w:rPr>
  </w:style>
  <w:style w:type="character" w:customStyle="1" w:styleId="44">
    <w:name w:val="you"/>
    <w:basedOn w:val="24"/>
    <w:qFormat/>
    <w:uiPriority w:val="0"/>
  </w:style>
  <w:style w:type="character" w:customStyle="1" w:styleId="45">
    <w:name w:val="quanp"/>
    <w:basedOn w:val="24"/>
    <w:qFormat/>
    <w:uiPriority w:val="0"/>
    <w:rPr>
      <w:color w:val="FFFFFF"/>
      <w:shd w:val="clear" w:color="auto" w:fill="7CB8FE"/>
    </w:rPr>
  </w:style>
  <w:style w:type="character" w:customStyle="1" w:styleId="46">
    <w:name w:val="quanp2"/>
    <w:basedOn w:val="24"/>
    <w:qFormat/>
    <w:uiPriority w:val="0"/>
    <w:rPr>
      <w:color w:val="FFFFFF"/>
      <w:sz w:val="0"/>
      <w:szCs w:val="0"/>
      <w:shd w:val="clear" w:color="auto" w:fill="7CB8FE"/>
    </w:rPr>
  </w:style>
  <w:style w:type="character" w:customStyle="1" w:styleId="47">
    <w:name w:val="gai"/>
    <w:basedOn w:val="24"/>
    <w:qFormat/>
    <w:uiPriority w:val="0"/>
  </w:style>
  <w:style w:type="character" w:customStyle="1" w:styleId="48">
    <w:name w:val="gai1"/>
    <w:basedOn w:val="24"/>
    <w:qFormat/>
    <w:uiPriority w:val="0"/>
  </w:style>
  <w:style w:type="character" w:customStyle="1" w:styleId="49">
    <w:name w:val="gai2"/>
    <w:basedOn w:val="24"/>
    <w:qFormat/>
    <w:uiPriority w:val="0"/>
  </w:style>
  <w:style w:type="character" w:customStyle="1" w:styleId="50">
    <w:name w:val="gai3"/>
    <w:basedOn w:val="24"/>
    <w:qFormat/>
    <w:uiPriority w:val="0"/>
  </w:style>
  <w:style w:type="character" w:customStyle="1" w:styleId="51">
    <w:name w:val="gai4"/>
    <w:basedOn w:val="24"/>
    <w:qFormat/>
    <w:uiPriority w:val="0"/>
  </w:style>
  <w:style w:type="character" w:customStyle="1" w:styleId="52">
    <w:name w:val="tit"/>
    <w:basedOn w:val="24"/>
    <w:qFormat/>
    <w:uiPriority w:val="0"/>
    <w:rPr>
      <w:color w:val="1D0000"/>
      <w:sz w:val="33"/>
      <w:szCs w:val="33"/>
    </w:rPr>
  </w:style>
  <w:style w:type="character" w:customStyle="1" w:styleId="53">
    <w:name w:val="time"/>
    <w:basedOn w:val="24"/>
    <w:qFormat/>
    <w:uiPriority w:val="0"/>
    <w:rPr>
      <w:color w:val="999999"/>
    </w:rPr>
  </w:style>
  <w:style w:type="character" w:customStyle="1" w:styleId="54">
    <w:name w:val="time1"/>
    <w:basedOn w:val="24"/>
    <w:qFormat/>
    <w:uiPriority w:val="0"/>
    <w:rPr>
      <w:color w:val="999999"/>
    </w:rPr>
  </w:style>
  <w:style w:type="character" w:customStyle="1" w:styleId="55">
    <w:name w:val="zuo"/>
    <w:basedOn w:val="24"/>
    <w:qFormat/>
    <w:uiPriority w:val="0"/>
  </w:style>
  <w:style w:type="character" w:customStyle="1" w:styleId="56">
    <w:name w:val="dcs"/>
    <w:basedOn w:val="24"/>
    <w:qFormat/>
    <w:uiPriority w:val="0"/>
    <w:rPr>
      <w:color w:val="BD1B09"/>
    </w:rPr>
  </w:style>
  <w:style w:type="character" w:customStyle="1" w:styleId="57">
    <w:name w:val="lname"/>
    <w:basedOn w:val="24"/>
    <w:qFormat/>
    <w:uiPriority w:val="0"/>
    <w:rPr>
      <w:color w:val="000000"/>
      <w:sz w:val="30"/>
      <w:szCs w:val="30"/>
    </w:rPr>
  </w:style>
  <w:style w:type="character" w:customStyle="1" w:styleId="58">
    <w:name w:val="jiaoluo"/>
    <w:basedOn w:val="24"/>
    <w:autoRedefine/>
    <w:qFormat/>
    <w:uiPriority w:val="0"/>
  </w:style>
  <w:style w:type="character" w:customStyle="1" w:styleId="59">
    <w:name w:val="fanhui"/>
    <w:basedOn w:val="24"/>
    <w:qFormat/>
    <w:uiPriority w:val="0"/>
    <w:rPr>
      <w:color w:val="FFFFFF"/>
      <w:sz w:val="24"/>
      <w:szCs w:val="24"/>
    </w:rPr>
  </w:style>
  <w:style w:type="character" w:customStyle="1" w:styleId="60">
    <w:name w:val="jiaoluo2"/>
    <w:basedOn w:val="24"/>
    <w:qFormat/>
    <w:uiPriority w:val="0"/>
  </w:style>
  <w:style w:type="character" w:customStyle="1" w:styleId="61">
    <w:name w:val="info-valid"/>
    <w:basedOn w:val="24"/>
    <w:qFormat/>
    <w:uiPriority w:val="0"/>
    <w:rPr>
      <w:color w:val="444444"/>
    </w:rPr>
  </w:style>
  <w:style w:type="character" w:customStyle="1" w:styleId="62">
    <w:name w:val="sjzs"/>
    <w:basedOn w:val="24"/>
    <w:qFormat/>
    <w:uiPriority w:val="0"/>
    <w:rPr>
      <w:sz w:val="27"/>
      <w:szCs w:val="27"/>
    </w:rPr>
  </w:style>
  <w:style w:type="character" w:customStyle="1" w:styleId="63">
    <w:name w:val="last5"/>
    <w:basedOn w:val="24"/>
    <w:qFormat/>
    <w:uiPriority w:val="0"/>
  </w:style>
  <w:style w:type="character" w:customStyle="1" w:styleId="64">
    <w:name w:val="last6"/>
    <w:basedOn w:val="24"/>
    <w:qFormat/>
    <w:uiPriority w:val="0"/>
  </w:style>
  <w:style w:type="character" w:customStyle="1" w:styleId="65">
    <w:name w:val="tit2"/>
    <w:basedOn w:val="24"/>
    <w:qFormat/>
    <w:uiPriority w:val="0"/>
    <w:rPr>
      <w:color w:val="1D0000"/>
      <w:sz w:val="33"/>
      <w:szCs w:val="33"/>
    </w:rPr>
  </w:style>
  <w:style w:type="character" w:customStyle="1" w:styleId="66">
    <w:name w:val="first-child4"/>
    <w:basedOn w:val="24"/>
    <w:qFormat/>
    <w:uiPriority w:val="0"/>
    <w:rPr>
      <w:color w:val="878787"/>
      <w:sz w:val="36"/>
      <w:szCs w:val="36"/>
      <w:shd w:val="clear" w:color="auto" w:fill="FFFFFF"/>
    </w:rPr>
  </w:style>
  <w:style w:type="character" w:customStyle="1" w:styleId="67">
    <w:name w:val="first-child5"/>
    <w:basedOn w:val="24"/>
    <w:qFormat/>
    <w:uiPriority w:val="0"/>
    <w:rPr>
      <w:color w:val="BD1B09"/>
    </w:rPr>
  </w:style>
  <w:style w:type="character" w:customStyle="1" w:styleId="68">
    <w:name w:val="日期 字符"/>
    <w:basedOn w:val="24"/>
    <w:link w:val="12"/>
    <w:qFormat/>
    <w:uiPriority w:val="0"/>
    <w:rPr>
      <w:rFonts w:eastAsia="仿宋"/>
      <w:kern w:val="2"/>
      <w:sz w:val="28"/>
      <w:szCs w:val="24"/>
    </w:rPr>
  </w:style>
  <w:style w:type="character" w:customStyle="1" w:styleId="69">
    <w:name w:val="HTML 预设格式 字符"/>
    <w:basedOn w:val="24"/>
    <w:link w:val="21"/>
    <w:semiHidden/>
    <w:qFormat/>
    <w:uiPriority w:val="0"/>
    <w:rPr>
      <w:rFonts w:ascii="Courier New" w:hAnsi="Courier New" w:eastAsia="仿宋" w:cs="Courier New"/>
      <w:kern w:val="2"/>
    </w:rPr>
  </w:style>
  <w:style w:type="paragraph" w:customStyle="1" w:styleId="70">
    <w:name w:val="TOC 标题1"/>
    <w:basedOn w:val="4"/>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1">
    <w:name w:val="未处理的提及1"/>
    <w:basedOn w:val="24"/>
    <w:semiHidden/>
    <w:unhideWhenUsed/>
    <w:qFormat/>
    <w:uiPriority w:val="99"/>
    <w:rPr>
      <w:color w:val="605E5C"/>
      <w:shd w:val="clear" w:color="auto" w:fill="E1DFDD"/>
    </w:rPr>
  </w:style>
  <w:style w:type="character" w:customStyle="1" w:styleId="72">
    <w:name w:val="font21"/>
    <w:basedOn w:val="24"/>
    <w:qFormat/>
    <w:uiPriority w:val="0"/>
    <w:rPr>
      <w:rFonts w:hint="eastAsia" w:ascii="宋体" w:hAnsi="宋体" w:eastAsia="宋体" w:cs="宋体"/>
      <w:color w:val="000000"/>
      <w:sz w:val="20"/>
      <w:szCs w:val="20"/>
      <w:u w:val="none"/>
      <w:vertAlign w:val="superscript"/>
    </w:rPr>
  </w:style>
  <w:style w:type="character" w:customStyle="1" w:styleId="73">
    <w:name w:val="font31"/>
    <w:basedOn w:val="24"/>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guo\Desktop\&#26032;&#24314;%20Microsoft%20Excel%20&#24037;&#20316;&#34920;%20(3).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1313;&#22235;&#20116;&#38534;&#22238;&#22478;&#38215;&#21457;&#23637;&#25351;&#26631;.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1313;&#22235;&#20116;&#38534;&#22238;&#22478;&#38215;&#21457;&#23637;&#25351;&#26631;.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1313;&#22235;&#20116;&#38534;&#22238;&#22478;&#38215;&#21457;&#23637;&#25351;&#2663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图</a:t>
            </a:r>
            <a:r>
              <a:rPr lang="en-US" altLang="zh-CN"/>
              <a:t>1  </a:t>
            </a:r>
            <a:r>
              <a:rPr lang="zh-CN" altLang="en-US"/>
              <a:t>隆回县“十三五”期间</a:t>
            </a:r>
            <a:endParaRPr lang="en-US" altLang="zh-CN"/>
          </a:p>
          <a:p>
            <a:pPr>
              <a:defRPr lang="zh-CN" sz="1400" b="0" i="0" u="none" strike="noStrike" kern="1200" spc="0" baseline="0">
                <a:solidFill>
                  <a:schemeClr val="tx1">
                    <a:lumMod val="65000"/>
                    <a:lumOff val="35000"/>
                  </a:schemeClr>
                </a:solidFill>
                <a:latin typeface="+mn-lt"/>
                <a:ea typeface="+mn-ea"/>
                <a:cs typeface="+mn-cs"/>
              </a:defRPr>
            </a:pPr>
            <a:r>
              <a:rPr lang="zh-CN" altLang="en-US"/>
              <a:t>城镇建设建成区规模发展情况</a:t>
            </a:r>
            <a:endParaRPr lang="zh-CN" altLang="en-US"/>
          </a:p>
        </c:rich>
      </c:tx>
      <c:layout>
        <c:manualLayout>
          <c:xMode val="edge"/>
          <c:yMode val="edge"/>
          <c:x val="0.293731583177069"/>
          <c:y val="0"/>
        </c:manualLayout>
      </c:layout>
      <c:overlay val="0"/>
      <c:spPr>
        <a:noFill/>
        <a:ln>
          <a:noFill/>
        </a:ln>
        <a:effectLst/>
      </c:spPr>
    </c:title>
    <c:autoTitleDeleted val="0"/>
    <c:plotArea>
      <c:layout>
        <c:manualLayout>
          <c:layoutTarget val="inner"/>
          <c:xMode val="edge"/>
          <c:yMode val="edge"/>
          <c:x val="0.295833333333333"/>
          <c:y val="0.185023330417031"/>
          <c:w val="0.659722222222222"/>
          <c:h val="0.476844196558763"/>
        </c:manualLayout>
      </c:layout>
      <c:barChart>
        <c:barDir val="col"/>
        <c:grouping val="clustered"/>
        <c:varyColors val="0"/>
        <c:ser>
          <c:idx val="0"/>
          <c:order val="0"/>
          <c:tx>
            <c:strRef>
              <c:f>Sheet2!$A$3</c:f>
              <c:strCache>
                <c:ptCount val="1"/>
                <c:pt idx="0">
                  <c:v>城镇面积（平方公里）</c:v>
                </c:pt>
              </c:strCache>
            </c:strRef>
          </c:tx>
          <c:spPr>
            <a:solidFill>
              <a:schemeClr val="accent1"/>
            </a:solidFill>
            <a:ln>
              <a:noFill/>
            </a:ln>
            <a:effectLst/>
          </c:spPr>
          <c:invertIfNegative val="0"/>
          <c:dLbls>
            <c:delete val="1"/>
          </c:dLbls>
          <c:cat>
            <c:numRef>
              <c:f>Sheet2!$B$2:$G$2</c:f>
              <c:numCache>
                <c:formatCode>General</c:formatCode>
                <c:ptCount val="6"/>
                <c:pt idx="0">
                  <c:v>2015</c:v>
                </c:pt>
                <c:pt idx="1">
                  <c:v>2016</c:v>
                </c:pt>
                <c:pt idx="2">
                  <c:v>2017</c:v>
                </c:pt>
                <c:pt idx="3">
                  <c:v>2018</c:v>
                </c:pt>
                <c:pt idx="4">
                  <c:v>2019</c:v>
                </c:pt>
                <c:pt idx="5">
                  <c:v>2020</c:v>
                </c:pt>
              </c:numCache>
            </c:numRef>
          </c:cat>
          <c:val>
            <c:numRef>
              <c:f>Sheet2!$B$3:$G$3</c:f>
              <c:numCache>
                <c:formatCode>General</c:formatCode>
                <c:ptCount val="6"/>
                <c:pt idx="0">
                  <c:v>58.37</c:v>
                </c:pt>
                <c:pt idx="1">
                  <c:v>65.58</c:v>
                </c:pt>
                <c:pt idx="2">
                  <c:v>72.36</c:v>
                </c:pt>
                <c:pt idx="3">
                  <c:v>76.7</c:v>
                </c:pt>
                <c:pt idx="4">
                  <c:v>81.3</c:v>
                </c:pt>
                <c:pt idx="5">
                  <c:v>81.31</c:v>
                </c:pt>
              </c:numCache>
            </c:numRef>
          </c:val>
        </c:ser>
        <c:dLbls>
          <c:showLegendKey val="0"/>
          <c:showVal val="0"/>
          <c:showCatName val="0"/>
          <c:showSerName val="0"/>
          <c:showPercent val="0"/>
          <c:showBubbleSize val="0"/>
        </c:dLbls>
        <c:gapWidth val="219"/>
        <c:overlap val="-27"/>
        <c:axId val="1144471344"/>
        <c:axId val="1144494640"/>
      </c:barChart>
      <c:lineChart>
        <c:grouping val="standard"/>
        <c:varyColors val="0"/>
        <c:ser>
          <c:idx val="1"/>
          <c:order val="1"/>
          <c:tx>
            <c:strRef>
              <c:f>Sheet2!$A$4</c:f>
              <c:strCache>
                <c:ptCount val="1"/>
                <c:pt idx="0">
                  <c:v>县城建成区面积</c:v>
                </c:pt>
              </c:strCache>
            </c:strRef>
          </c:tx>
          <c:spPr>
            <a:ln w="28575" cap="rnd">
              <a:solidFill>
                <a:schemeClr val="accent2"/>
              </a:solidFill>
              <a:round/>
            </a:ln>
            <a:effectLst/>
          </c:spPr>
          <c:marker>
            <c:symbol val="none"/>
          </c:marker>
          <c:dLbls>
            <c:delete val="1"/>
          </c:dLbls>
          <c:cat>
            <c:numRef>
              <c:f>Sheet2!$B$2:$G$2</c:f>
              <c:numCache>
                <c:formatCode>General</c:formatCode>
                <c:ptCount val="6"/>
                <c:pt idx="0">
                  <c:v>2015</c:v>
                </c:pt>
                <c:pt idx="1">
                  <c:v>2016</c:v>
                </c:pt>
                <c:pt idx="2">
                  <c:v>2017</c:v>
                </c:pt>
                <c:pt idx="3">
                  <c:v>2018</c:v>
                </c:pt>
                <c:pt idx="4">
                  <c:v>2019</c:v>
                </c:pt>
                <c:pt idx="5">
                  <c:v>2020</c:v>
                </c:pt>
              </c:numCache>
            </c:numRef>
          </c:cat>
          <c:val>
            <c:numRef>
              <c:f>Sheet2!$B$4:$G$4</c:f>
              <c:numCache>
                <c:formatCode>General</c:formatCode>
                <c:ptCount val="6"/>
                <c:pt idx="0">
                  <c:v>20</c:v>
                </c:pt>
                <c:pt idx="1">
                  <c:v>20</c:v>
                </c:pt>
                <c:pt idx="2">
                  <c:v>20</c:v>
                </c:pt>
                <c:pt idx="3">
                  <c:v>22</c:v>
                </c:pt>
                <c:pt idx="4">
                  <c:v>22</c:v>
                </c:pt>
                <c:pt idx="5">
                  <c:v>27.17</c:v>
                </c:pt>
              </c:numCache>
            </c:numRef>
          </c:val>
          <c:smooth val="0"/>
        </c:ser>
        <c:dLbls>
          <c:showLegendKey val="0"/>
          <c:showVal val="0"/>
          <c:showCatName val="0"/>
          <c:showSerName val="0"/>
          <c:showPercent val="0"/>
          <c:showBubbleSize val="0"/>
        </c:dLbls>
        <c:marker val="0"/>
        <c:smooth val="0"/>
        <c:axId val="1144471344"/>
        <c:axId val="1144494640"/>
      </c:lineChart>
      <c:catAx>
        <c:axId val="114447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44494640"/>
        <c:crosses val="autoZero"/>
        <c:auto val="1"/>
        <c:lblAlgn val="ctr"/>
        <c:lblOffset val="100"/>
        <c:noMultiLvlLbl val="0"/>
      </c:catAx>
      <c:valAx>
        <c:axId val="1144494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44471344"/>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600" b="1" i="0" u="none" strike="noStrike" kern="1200" cap="none" spc="0" normalizeH="0" baseline="0">
                <a:solidFill>
                  <a:schemeClr val="dk1">
                    <a:lumMod val="50000"/>
                    <a:lumOff val="50000"/>
                  </a:schemeClr>
                </a:solidFill>
                <a:latin typeface="+mj-lt"/>
                <a:ea typeface="+mj-ea"/>
                <a:cs typeface="+mj-cs"/>
              </a:defRPr>
            </a:pPr>
            <a:r>
              <a:rPr lang="zh-CN" altLang="en-US"/>
              <a:t>图</a:t>
            </a:r>
            <a:r>
              <a:rPr lang="en-US" altLang="zh-CN"/>
              <a:t>2  </a:t>
            </a:r>
            <a:r>
              <a:rPr lang="zh-CN" altLang="en-US"/>
              <a:t>隆回县“十三五”城镇化发展水平</a:t>
            </a:r>
            <a:endParaRPr lang="zh-CN"/>
          </a:p>
        </c:rich>
      </c:tx>
      <c:layout/>
      <c:overlay val="0"/>
      <c:spPr>
        <a:noFill/>
        <a:ln>
          <a:noFill/>
        </a:ln>
        <a:effectLst/>
      </c:spPr>
    </c:title>
    <c:autoTitleDeleted val="0"/>
    <c:plotArea>
      <c:layout/>
      <c:barChart>
        <c:barDir val="col"/>
        <c:grouping val="clustered"/>
        <c:varyColors val="0"/>
        <c:ser>
          <c:idx val="0"/>
          <c:order val="0"/>
          <c:tx>
            <c:strRef>
              <c:f>Sheet3!$A$2</c:f>
              <c:strCache>
                <c:ptCount val="1"/>
                <c:pt idx="0">
                  <c:v>城镇人口
（万人）</c:v>
                </c:pt>
              </c:strCache>
            </c:strRef>
          </c:tx>
          <c:spPr>
            <a:solidFill>
              <a:schemeClr val="accent1"/>
            </a:solidFill>
            <a:ln>
              <a:noFill/>
            </a:ln>
            <a:effectLst/>
          </c:spPr>
          <c:invertIfNegative val="0"/>
          <c:dLbls>
            <c:delete val="1"/>
          </c:dLbls>
          <c:cat>
            <c:numRef>
              <c:f>Sheet3!$B$1:$G$1</c:f>
              <c:numCache>
                <c:formatCode>General</c:formatCode>
                <c:ptCount val="6"/>
                <c:pt idx="0">
                  <c:v>2015</c:v>
                </c:pt>
                <c:pt idx="1">
                  <c:v>2016</c:v>
                </c:pt>
                <c:pt idx="2">
                  <c:v>2017</c:v>
                </c:pt>
                <c:pt idx="3">
                  <c:v>2018</c:v>
                </c:pt>
                <c:pt idx="4">
                  <c:v>2019</c:v>
                </c:pt>
                <c:pt idx="5">
                  <c:v>2020</c:v>
                </c:pt>
              </c:numCache>
            </c:numRef>
          </c:cat>
          <c:val>
            <c:numRef>
              <c:f>Sheet3!$B$2:$G$2</c:f>
              <c:numCache>
                <c:formatCode>General</c:formatCode>
                <c:ptCount val="6"/>
                <c:pt idx="0">
                  <c:v>34.5</c:v>
                </c:pt>
                <c:pt idx="1">
                  <c:v>45.6</c:v>
                </c:pt>
                <c:pt idx="2">
                  <c:v>47.7</c:v>
                </c:pt>
                <c:pt idx="3">
                  <c:v>49.67</c:v>
                </c:pt>
                <c:pt idx="4">
                  <c:v>51.7</c:v>
                </c:pt>
                <c:pt idx="5">
                  <c:v>54.64</c:v>
                </c:pt>
              </c:numCache>
            </c:numRef>
          </c:val>
        </c:ser>
        <c:ser>
          <c:idx val="1"/>
          <c:order val="1"/>
          <c:tx>
            <c:strRef>
              <c:f>Sheet3!$A$3</c:f>
              <c:strCache>
                <c:ptCount val="1"/>
                <c:pt idx="0">
                  <c:v>城镇化率
（%）</c:v>
                </c:pt>
              </c:strCache>
            </c:strRef>
          </c:tx>
          <c:spPr>
            <a:solidFill>
              <a:schemeClr val="accent2"/>
            </a:solidFill>
            <a:ln>
              <a:noFill/>
            </a:ln>
            <a:effectLst/>
          </c:spPr>
          <c:invertIfNegative val="0"/>
          <c:dLbls>
            <c:delete val="1"/>
          </c:dLbls>
          <c:cat>
            <c:numRef>
              <c:f>Sheet3!$B$1:$G$1</c:f>
              <c:numCache>
                <c:formatCode>General</c:formatCode>
                <c:ptCount val="6"/>
                <c:pt idx="0">
                  <c:v>2015</c:v>
                </c:pt>
                <c:pt idx="1">
                  <c:v>2016</c:v>
                </c:pt>
                <c:pt idx="2">
                  <c:v>2017</c:v>
                </c:pt>
                <c:pt idx="3">
                  <c:v>2018</c:v>
                </c:pt>
                <c:pt idx="4">
                  <c:v>2019</c:v>
                </c:pt>
                <c:pt idx="5">
                  <c:v>2020</c:v>
                </c:pt>
              </c:numCache>
            </c:numRef>
          </c:cat>
          <c:val>
            <c:numRef>
              <c:f>Sheet3!$B$3:$G$3</c:f>
              <c:numCache>
                <c:formatCode>General</c:formatCode>
                <c:ptCount val="6"/>
                <c:pt idx="0">
                  <c:v>33.2</c:v>
                </c:pt>
                <c:pt idx="1">
                  <c:v>35.08</c:v>
                </c:pt>
                <c:pt idx="2">
                  <c:v>37.26</c:v>
                </c:pt>
                <c:pt idx="3">
                  <c:v>38.76</c:v>
                </c:pt>
                <c:pt idx="4">
                  <c:v>43.02</c:v>
                </c:pt>
                <c:pt idx="5">
                  <c:v>45.2</c:v>
                </c:pt>
              </c:numCache>
            </c:numRef>
          </c:val>
        </c:ser>
        <c:ser>
          <c:idx val="2"/>
          <c:order val="2"/>
          <c:tx>
            <c:strRef>
              <c:f>Sheet3!$A$4</c:f>
              <c:strCache>
                <c:ptCount val="1"/>
                <c:pt idx="0">
                  <c:v>同比增长
（%）</c:v>
                </c:pt>
              </c:strCache>
            </c:strRef>
          </c:tx>
          <c:spPr>
            <a:solidFill>
              <a:schemeClr val="accent3"/>
            </a:solidFill>
            <a:ln>
              <a:noFill/>
            </a:ln>
            <a:effectLst/>
          </c:spPr>
          <c:invertIfNegative val="0"/>
          <c:dLbls>
            <c:delete val="1"/>
          </c:dLbls>
          <c:cat>
            <c:numRef>
              <c:f>Sheet3!$B$1:$G$1</c:f>
              <c:numCache>
                <c:formatCode>General</c:formatCode>
                <c:ptCount val="6"/>
                <c:pt idx="0">
                  <c:v>2015</c:v>
                </c:pt>
                <c:pt idx="1">
                  <c:v>2016</c:v>
                </c:pt>
                <c:pt idx="2">
                  <c:v>2017</c:v>
                </c:pt>
                <c:pt idx="3">
                  <c:v>2018</c:v>
                </c:pt>
                <c:pt idx="4">
                  <c:v>2019</c:v>
                </c:pt>
                <c:pt idx="5">
                  <c:v>2020</c:v>
                </c:pt>
              </c:numCache>
            </c:numRef>
          </c:cat>
          <c:val>
            <c:numRef>
              <c:f>Sheet3!$B$4:$G$4</c:f>
              <c:numCache>
                <c:formatCode>General</c:formatCode>
                <c:ptCount val="6"/>
                <c:pt idx="0">
                  <c:v>1.67</c:v>
                </c:pt>
                <c:pt idx="1">
                  <c:v>1.92</c:v>
                </c:pt>
                <c:pt idx="2">
                  <c:v>2.18</c:v>
                </c:pt>
                <c:pt idx="3">
                  <c:v>1.5</c:v>
                </c:pt>
                <c:pt idx="4">
                  <c:v>6.26</c:v>
                </c:pt>
                <c:pt idx="5">
                  <c:v>2.18</c:v>
                </c:pt>
              </c:numCache>
            </c:numRef>
          </c:val>
        </c:ser>
        <c:ser>
          <c:idx val="3"/>
          <c:order val="3"/>
          <c:tx>
            <c:strRef>
              <c:f>Sheet3!$A$5</c:f>
              <c:strCache>
                <c:ptCount val="1"/>
                <c:pt idx="0">
                  <c:v>县城人口
（万人）</c:v>
                </c:pt>
              </c:strCache>
            </c:strRef>
          </c:tx>
          <c:spPr>
            <a:solidFill>
              <a:schemeClr val="accent4"/>
            </a:solidFill>
            <a:ln>
              <a:noFill/>
            </a:ln>
            <a:effectLst/>
          </c:spPr>
          <c:invertIfNegative val="0"/>
          <c:dLbls>
            <c:delete val="1"/>
          </c:dLbls>
          <c:cat>
            <c:numRef>
              <c:f>Sheet3!$B$1:$G$1</c:f>
              <c:numCache>
                <c:formatCode>General</c:formatCode>
                <c:ptCount val="6"/>
                <c:pt idx="0">
                  <c:v>2015</c:v>
                </c:pt>
                <c:pt idx="1">
                  <c:v>2016</c:v>
                </c:pt>
                <c:pt idx="2">
                  <c:v>2017</c:v>
                </c:pt>
                <c:pt idx="3">
                  <c:v>2018</c:v>
                </c:pt>
                <c:pt idx="4">
                  <c:v>2019</c:v>
                </c:pt>
                <c:pt idx="5">
                  <c:v>2020</c:v>
                </c:pt>
              </c:numCache>
            </c:numRef>
          </c:cat>
          <c:val>
            <c:numRef>
              <c:f>Sheet3!$B$5:$G$5</c:f>
              <c:numCache>
                <c:formatCode>General</c:formatCode>
                <c:ptCount val="6"/>
                <c:pt idx="0">
                  <c:v>20</c:v>
                </c:pt>
                <c:pt idx="1">
                  <c:v>20</c:v>
                </c:pt>
                <c:pt idx="2">
                  <c:v>20</c:v>
                </c:pt>
                <c:pt idx="3">
                  <c:v>22</c:v>
                </c:pt>
                <c:pt idx="4">
                  <c:v>23.4</c:v>
                </c:pt>
                <c:pt idx="5">
                  <c:v>25</c:v>
                </c:pt>
              </c:numCache>
            </c:numRef>
          </c:val>
        </c:ser>
        <c:dLbls>
          <c:showLegendKey val="0"/>
          <c:showVal val="0"/>
          <c:showCatName val="0"/>
          <c:showSerName val="0"/>
          <c:showPercent val="0"/>
          <c:showBubbleSize val="0"/>
        </c:dLbls>
        <c:gapWidth val="267"/>
        <c:overlap val="-43"/>
        <c:axId val="1138326544"/>
        <c:axId val="1138321136"/>
      </c:barChart>
      <c:catAx>
        <c:axId val="11383265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zh-CN" sz="900" b="0" i="0" u="none" strike="noStrike" kern="1200" cap="none" spc="0" normalizeH="0" baseline="0">
                <a:solidFill>
                  <a:schemeClr val="dk1">
                    <a:lumMod val="65000"/>
                    <a:lumOff val="35000"/>
                  </a:schemeClr>
                </a:solidFill>
                <a:latin typeface="+mn-lt"/>
                <a:ea typeface="+mn-ea"/>
                <a:cs typeface="+mn-cs"/>
              </a:defRPr>
            </a:pPr>
          </a:p>
        </c:txPr>
        <c:crossAx val="1138321136"/>
        <c:crosses val="autoZero"/>
        <c:auto val="1"/>
        <c:lblAlgn val="ctr"/>
        <c:lblOffset val="100"/>
        <c:noMultiLvlLbl val="0"/>
      </c:catAx>
      <c:valAx>
        <c:axId val="11383211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1138326544"/>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a:defRPr lang="zh-CN" sz="800" b="0" i="0" u="none" strike="noStrike" kern="1200" baseline="0">
                <a:solidFill>
                  <a:schemeClr val="dk1">
                    <a:lumMod val="65000"/>
                    <a:lumOff val="35000"/>
                  </a:schemeClr>
                </a:solidFill>
                <a:latin typeface="+mn-lt"/>
                <a:ea typeface="+mn-ea"/>
                <a:cs typeface="+mn-cs"/>
              </a:defRPr>
            </a:pPr>
          </a:p>
        </c:txPr>
      </c:dTable>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图</a:t>
            </a:r>
            <a:r>
              <a:rPr lang="en-US" altLang="zh-CN" b="1"/>
              <a:t>3  </a:t>
            </a:r>
            <a:r>
              <a:rPr lang="zh-CN" altLang="en-US" b="1"/>
              <a:t>隆回县“十三五”期间</a:t>
            </a:r>
            <a:endParaRPr lang="zh-CN" altLang="en-US" b="1"/>
          </a:p>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人均公共绿地发展水平</a:t>
            </a:r>
            <a:endParaRPr lang="zh-CN" altLang="en-US" b="1"/>
          </a:p>
        </c:rich>
      </c:tx>
      <c:layout/>
      <c:overlay val="0"/>
      <c:spPr>
        <a:noFill/>
        <a:ln>
          <a:noFill/>
        </a:ln>
        <a:effectLst/>
      </c:spPr>
    </c:title>
    <c:autoTitleDeleted val="0"/>
    <c:plotArea>
      <c:layout/>
      <c:barChart>
        <c:barDir val="col"/>
        <c:grouping val="clustered"/>
        <c:varyColors val="0"/>
        <c:ser>
          <c:idx val="0"/>
          <c:order val="0"/>
          <c:tx>
            <c:strRef>
              <c:f>[十四五隆回城镇发展指标.xls]Sheet2!$A$3</c:f>
              <c:strCache>
                <c:ptCount val="1"/>
                <c:pt idx="0">
                  <c:v>人均公
共绿地
（平米）</c:v>
                </c:pt>
              </c:strCache>
            </c:strRef>
          </c:tx>
          <c:spPr>
            <a:solidFill>
              <a:schemeClr val="accent1"/>
            </a:solidFill>
            <a:ln>
              <a:noFill/>
            </a:ln>
            <a:effectLst/>
          </c:spPr>
          <c:invertIfNegative val="0"/>
          <c:dLbls>
            <c:delete val="1"/>
          </c:dLbls>
          <c:cat>
            <c:strRef>
              <c:f>[十四五隆回城镇发展指标.xls]Sheet2!$B$2:$G$2</c:f>
              <c:strCache>
                <c:ptCount val="6"/>
                <c:pt idx="0">
                  <c:v>2015年</c:v>
                </c:pt>
                <c:pt idx="1">
                  <c:v>2016年</c:v>
                </c:pt>
                <c:pt idx="2">
                  <c:v>2017年</c:v>
                </c:pt>
                <c:pt idx="3">
                  <c:v>2018年</c:v>
                </c:pt>
                <c:pt idx="4">
                  <c:v>2019年</c:v>
                </c:pt>
                <c:pt idx="5">
                  <c:v>2020年</c:v>
                </c:pt>
              </c:strCache>
            </c:strRef>
          </c:cat>
          <c:val>
            <c:numRef>
              <c:f>[十四五隆回城镇发展指标.xls]Sheet2!$B$3:$G$3</c:f>
              <c:numCache>
                <c:formatCode>General</c:formatCode>
                <c:ptCount val="6"/>
                <c:pt idx="0">
                  <c:v>8</c:v>
                </c:pt>
                <c:pt idx="1">
                  <c:v>9.2</c:v>
                </c:pt>
                <c:pt idx="2">
                  <c:v>9.68</c:v>
                </c:pt>
                <c:pt idx="3">
                  <c:v>9.96</c:v>
                </c:pt>
                <c:pt idx="4">
                  <c:v>10</c:v>
                </c:pt>
                <c:pt idx="5">
                  <c:v>10.3</c:v>
                </c:pt>
              </c:numCache>
            </c:numRef>
          </c:val>
        </c:ser>
        <c:dLbls>
          <c:showLegendKey val="0"/>
          <c:showVal val="0"/>
          <c:showCatName val="0"/>
          <c:showSerName val="0"/>
          <c:showPercent val="0"/>
          <c:showBubbleSize val="0"/>
        </c:dLbls>
        <c:gapWidth val="150"/>
        <c:axId val="675929023"/>
        <c:axId val="881888671"/>
      </c:barChart>
      <c:catAx>
        <c:axId val="675929023"/>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1888671"/>
        <c:crosses val="autoZero"/>
        <c:auto val="1"/>
        <c:lblAlgn val="ctr"/>
        <c:lblOffset val="100"/>
        <c:noMultiLvlLbl val="0"/>
      </c:catAx>
      <c:valAx>
        <c:axId val="881888671"/>
        <c:scaling>
          <c:orientation val="minMax"/>
        </c:scaling>
        <c:delete val="0"/>
        <c:axPos val="l"/>
        <c:majorGridlines>
          <c:spPr>
            <a:ln w="9525" cap="flat" cmpd="sng" algn="ctr">
              <a:solidFill>
                <a:schemeClr val="tx1">
                  <a:lumMod val="15000"/>
                  <a:lumOff val="85000"/>
                </a:schemeClr>
              </a:solidFill>
              <a:round/>
            </a:ln>
            <a:effectLst/>
          </c:spPr>
        </c:majorGridlines>
        <c:title>
          <c:layout>
            <c:manualLayout>
              <c:xMode val="edge"/>
              <c:yMode val="edge"/>
              <c:x val="0.0305555555555556"/>
              <c:y val="0.359328703703704"/>
            </c:manualLayout>
          </c:layout>
          <c:overlay val="0"/>
          <c:spPr>
            <a:noFill/>
            <a:ln>
              <a:noFill/>
            </a:ln>
            <a:effectLst/>
          </c:spPr>
          <c:txPr>
            <a:bodyPr rot="-54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title>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592902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cap="all" spc="150" baseline="0">
                <a:solidFill>
                  <a:schemeClr val="tx1">
                    <a:lumMod val="50000"/>
                    <a:lumOff val="50000"/>
                  </a:schemeClr>
                </a:solidFill>
                <a:latin typeface="+mn-lt"/>
                <a:ea typeface="+mn-ea"/>
                <a:cs typeface="+mn-cs"/>
              </a:defRPr>
            </a:pPr>
            <a:r>
              <a:rPr lang="zh-CN" altLang="en-US"/>
              <a:t>图</a:t>
            </a:r>
            <a:r>
              <a:rPr lang="en-US" altLang="zh-CN"/>
              <a:t>4 </a:t>
            </a:r>
            <a:r>
              <a:rPr lang="zh-CN" altLang="en-US"/>
              <a:t>隆回县“十三五”城镇基础设施建设政府投入发展水平</a:t>
            </a:r>
            <a:endParaRPr lang="zh-CN" altLang="en-US"/>
          </a:p>
        </c:rich>
      </c:tx>
      <c:layout>
        <c:manualLayout>
          <c:xMode val="edge"/>
          <c:yMode val="edge"/>
          <c:x val="0.115902777777778"/>
          <c:y val="0.0208333333333333"/>
        </c:manualLayout>
      </c:layout>
      <c:overlay val="0"/>
      <c:spPr>
        <a:noFill/>
        <a:ln>
          <a:noFill/>
        </a:ln>
        <a:effectLst/>
      </c:spPr>
    </c:title>
    <c:autoTitleDeleted val="0"/>
    <c:plotArea>
      <c:layout/>
      <c:barChart>
        <c:barDir val="col"/>
        <c:grouping val="clustered"/>
        <c:varyColors val="0"/>
        <c:ser>
          <c:idx val="0"/>
          <c:order val="0"/>
          <c:tx>
            <c:strRef>
              <c:f>[十四五隆回城镇发展指标.xls]Sheet2!$A$3</c:f>
              <c:strCache>
                <c:ptCount val="1"/>
                <c:pt idx="0">
                  <c:v>基础设施建设
政府投入资金
（亿元）</c:v>
                </c:pt>
              </c:strCache>
            </c:strRef>
          </c:tx>
          <c:spPr>
            <a:pattFill prst="narHorz">
              <a:fgClr>
                <a:schemeClr val="accent2"/>
              </a:fgClr>
              <a:bgClr>
                <a:schemeClr val="accent1">
                  <a:lumMod val="20000"/>
                  <a:lumOff val="80000"/>
                </a:schemeClr>
              </a:bgClr>
            </a:pattFill>
            <a:ln>
              <a:noFill/>
            </a:ln>
            <a:effectLst>
              <a:innerShdw blurRad="114300">
                <a:schemeClr val="accent1"/>
              </a:innerShdw>
            </a:effectLst>
          </c:spPr>
          <c:invertIfNegative val="0"/>
          <c:dLbls>
            <c:delete val="1"/>
          </c:dLbls>
          <c:cat>
            <c:strRef>
              <c:f>[十四五隆回城镇发展指标.xls]Sheet2!$B$2:$G$2</c:f>
              <c:strCache>
                <c:ptCount val="6"/>
                <c:pt idx="0">
                  <c:v>2015年</c:v>
                </c:pt>
                <c:pt idx="1">
                  <c:v>2016年</c:v>
                </c:pt>
                <c:pt idx="2">
                  <c:v>2017年</c:v>
                </c:pt>
                <c:pt idx="3">
                  <c:v>2018年</c:v>
                </c:pt>
                <c:pt idx="4">
                  <c:v>2019年</c:v>
                </c:pt>
                <c:pt idx="5">
                  <c:v>2020年</c:v>
                </c:pt>
              </c:strCache>
            </c:strRef>
          </c:cat>
          <c:val>
            <c:numRef>
              <c:f>[十四五隆回城镇发展指标.xls]Sheet2!$B$3:$G$3</c:f>
              <c:numCache>
                <c:formatCode>General</c:formatCode>
                <c:ptCount val="6"/>
                <c:pt idx="0">
                  <c:v>3.12</c:v>
                </c:pt>
                <c:pt idx="1">
                  <c:v>2.46</c:v>
                </c:pt>
                <c:pt idx="2">
                  <c:v>3.22</c:v>
                </c:pt>
                <c:pt idx="3">
                  <c:v>13.58</c:v>
                </c:pt>
                <c:pt idx="4">
                  <c:v>14.62</c:v>
                </c:pt>
                <c:pt idx="5">
                  <c:v>13.4</c:v>
                </c:pt>
              </c:numCache>
            </c:numRef>
          </c:val>
        </c:ser>
        <c:dLbls>
          <c:showLegendKey val="0"/>
          <c:showVal val="0"/>
          <c:showCatName val="0"/>
          <c:showSerName val="0"/>
          <c:showPercent val="0"/>
          <c:showBubbleSize val="0"/>
        </c:dLbls>
        <c:gapWidth val="164"/>
        <c:overlap val="-22"/>
        <c:axId val="724181401"/>
        <c:axId val="580281834"/>
      </c:barChart>
      <c:catAx>
        <c:axId val="724181401"/>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0281834"/>
        <c:crosses val="autoZero"/>
        <c:auto val="1"/>
        <c:lblAlgn val="ctr"/>
        <c:lblOffset val="100"/>
        <c:noMultiLvlLbl val="0"/>
      </c:catAx>
      <c:valAx>
        <c:axId val="580281834"/>
        <c:scaling>
          <c:orientation val="minMax"/>
        </c:scaling>
        <c:delete val="0"/>
        <c:axPos val="l"/>
        <c:title>
          <c:tx>
            <c:rich>
              <a:bodyPr rot="-5400000" spcFirstLastPara="0" vertOverflow="ellipsis" vert="horz" wrap="square" anchor="ctr" anchorCtr="1"/>
              <a:lstStyle/>
              <a:p>
                <a:pPr defTabSz="914400">
                  <a:defRPr lang="zh-CN" sz="900" b="1" i="0" u="none" strike="noStrike" kern="1200" baseline="0">
                    <a:solidFill>
                      <a:schemeClr val="tx1">
                        <a:lumMod val="65000"/>
                        <a:lumOff val="35000"/>
                      </a:schemeClr>
                    </a:solidFill>
                    <a:latin typeface="+mn-lt"/>
                    <a:ea typeface="+mn-ea"/>
                    <a:cs typeface="+mn-cs"/>
                  </a:defRPr>
                </a:pPr>
                <a:r>
                  <a:rPr lang="zh-CN" altLang="en-US"/>
                  <a:t>单位：亿元</a:t>
                </a:r>
                <a:endParaRPr lang="zh-CN" alt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4181401"/>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solidFill>
            <a:schemeClr val="accent2"/>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cap="all" spc="150" baseline="0">
                <a:solidFill>
                  <a:schemeClr val="tx1">
                    <a:lumMod val="50000"/>
                    <a:lumOff val="50000"/>
                  </a:schemeClr>
                </a:solidFill>
                <a:latin typeface="+mn-lt"/>
                <a:ea typeface="+mn-ea"/>
                <a:cs typeface="+mn-cs"/>
              </a:defRPr>
            </a:pPr>
            <a:r>
              <a:rPr lang="zh-CN" altLang="en-US"/>
              <a:t>图</a:t>
            </a:r>
            <a:r>
              <a:rPr lang="en-US" altLang="zh-CN"/>
              <a:t>5 </a:t>
            </a:r>
            <a:r>
              <a:rPr lang="zh-CN" altLang="en-US"/>
              <a:t>隆回县“十三五”期间</a:t>
            </a:r>
            <a:endParaRPr lang="zh-CN" altLang="en-US"/>
          </a:p>
          <a:p>
            <a:pPr defTabSz="914400">
              <a:defRPr lang="zh-CN" sz="1800" b="1" i="0" u="none" strike="noStrike" kern="1200" cap="all" spc="150" baseline="0">
                <a:solidFill>
                  <a:schemeClr val="tx1">
                    <a:lumMod val="50000"/>
                    <a:lumOff val="50000"/>
                  </a:schemeClr>
                </a:solidFill>
                <a:latin typeface="+mn-lt"/>
                <a:ea typeface="+mn-ea"/>
                <a:cs typeface="+mn-cs"/>
              </a:defRPr>
            </a:pPr>
            <a:r>
              <a:rPr lang="zh-CN" altLang="en-US"/>
              <a:t>城乡二元差别变化图</a:t>
            </a:r>
            <a:endParaRPr lang="zh-CN" altLang="en-US"/>
          </a:p>
        </c:rich>
      </c:tx>
      <c:layout>
        <c:manualLayout>
          <c:xMode val="edge"/>
          <c:yMode val="edge"/>
          <c:x val="0.118765657025734"/>
          <c:y val="0.00786210060878796"/>
        </c:manualLayout>
      </c:layout>
      <c:overlay val="0"/>
      <c:spPr>
        <a:noFill/>
        <a:ln>
          <a:noFill/>
        </a:ln>
        <a:effectLst/>
      </c:spPr>
    </c:title>
    <c:autoTitleDeleted val="0"/>
    <c:plotArea>
      <c:layout/>
      <c:barChart>
        <c:barDir val="col"/>
        <c:grouping val="clustered"/>
        <c:varyColors val="0"/>
        <c:ser>
          <c:idx val="0"/>
          <c:order val="0"/>
          <c:tx>
            <c:strRef>
              <c:f>[十四五隆回城镇发展指标.xls]Sheet2!$A$3</c:f>
              <c:strCache>
                <c:ptCount val="1"/>
                <c:pt idx="0">
                  <c:v>城镇居民
可支配收入</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elete val="1"/>
          </c:dLbls>
          <c:cat>
            <c:strRef>
              <c:f>[十四五隆回城镇发展指标.xls]Sheet2!$B$2:$G$2</c:f>
              <c:strCache>
                <c:ptCount val="6"/>
                <c:pt idx="0">
                  <c:v>2015年</c:v>
                </c:pt>
                <c:pt idx="1">
                  <c:v>2016年</c:v>
                </c:pt>
                <c:pt idx="2">
                  <c:v>2017年</c:v>
                </c:pt>
                <c:pt idx="3">
                  <c:v>2018年</c:v>
                </c:pt>
                <c:pt idx="4">
                  <c:v>2019年</c:v>
                </c:pt>
                <c:pt idx="5">
                  <c:v>2020年</c:v>
                </c:pt>
              </c:strCache>
            </c:strRef>
          </c:cat>
          <c:val>
            <c:numRef>
              <c:f>[十四五隆回城镇发展指标.xls]Sheet2!$B$3:$G$3</c:f>
              <c:numCache>
                <c:formatCode>General</c:formatCode>
                <c:ptCount val="6"/>
                <c:pt idx="0">
                  <c:v>19636</c:v>
                </c:pt>
                <c:pt idx="1">
                  <c:v>21391</c:v>
                </c:pt>
                <c:pt idx="2">
                  <c:v>23217</c:v>
                </c:pt>
                <c:pt idx="3">
                  <c:v>25130</c:v>
                </c:pt>
                <c:pt idx="4">
                  <c:v>27266</c:v>
                </c:pt>
                <c:pt idx="5">
                  <c:v>28449</c:v>
                </c:pt>
              </c:numCache>
            </c:numRef>
          </c:val>
        </c:ser>
        <c:ser>
          <c:idx val="1"/>
          <c:order val="1"/>
          <c:tx>
            <c:strRef>
              <c:f>[十四五隆回城镇发展指标.xls]Sheet2!$A$4</c:f>
              <c:strCache>
                <c:ptCount val="1"/>
                <c:pt idx="0">
                  <c:v>农村居民
可支配收入</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elete val="1"/>
          </c:dLbls>
          <c:cat>
            <c:strRef>
              <c:f>[十四五隆回城镇发展指标.xls]Sheet2!$B$2:$G$2</c:f>
              <c:strCache>
                <c:ptCount val="6"/>
                <c:pt idx="0">
                  <c:v>2015年</c:v>
                </c:pt>
                <c:pt idx="1">
                  <c:v>2016年</c:v>
                </c:pt>
                <c:pt idx="2">
                  <c:v>2017年</c:v>
                </c:pt>
                <c:pt idx="3">
                  <c:v>2018年</c:v>
                </c:pt>
                <c:pt idx="4">
                  <c:v>2019年</c:v>
                </c:pt>
                <c:pt idx="5">
                  <c:v>2020年</c:v>
                </c:pt>
              </c:strCache>
            </c:strRef>
          </c:cat>
          <c:val>
            <c:numRef>
              <c:f>[十四五隆回城镇发展指标.xls]Sheet2!$B$4:$G$4</c:f>
              <c:numCache>
                <c:formatCode>General</c:formatCode>
                <c:ptCount val="6"/>
                <c:pt idx="0">
                  <c:v>7129</c:v>
                </c:pt>
                <c:pt idx="1">
                  <c:v>8094</c:v>
                </c:pt>
                <c:pt idx="2">
                  <c:v>9174</c:v>
                </c:pt>
                <c:pt idx="3">
                  <c:v>10288</c:v>
                </c:pt>
                <c:pt idx="4">
                  <c:v>11379</c:v>
                </c:pt>
                <c:pt idx="5">
                  <c:v>12589</c:v>
                </c:pt>
              </c:numCache>
            </c:numRef>
          </c:val>
        </c:ser>
        <c:dLbls>
          <c:showLegendKey val="0"/>
          <c:showVal val="0"/>
          <c:showCatName val="0"/>
          <c:showSerName val="0"/>
          <c:showPercent val="0"/>
          <c:showBubbleSize val="0"/>
        </c:dLbls>
        <c:gapWidth val="150"/>
        <c:axId val="219940057"/>
        <c:axId val="321172039"/>
      </c:barChart>
      <c:lineChart>
        <c:grouping val="standard"/>
        <c:varyColors val="0"/>
        <c:ser>
          <c:idx val="2"/>
          <c:order val="2"/>
          <c:tx>
            <c:strRef>
              <c:f>[十四五隆回城镇发展指标.xls]Sheet2!$A$5</c:f>
              <c:strCache>
                <c:ptCount val="1"/>
                <c:pt idx="0">
                  <c:v>城乡居民可支配
收入差别值</c:v>
                </c:pt>
              </c:strCache>
            </c:strRef>
          </c:tx>
          <c:spPr>
            <a:ln w="28575" cap="rnd">
              <a:solidFill>
                <a:schemeClr val="accent3"/>
              </a:solidFill>
              <a:round/>
            </a:ln>
            <a:effectLst/>
          </c:spPr>
          <c:marker>
            <c:symbol val="none"/>
          </c:marker>
          <c:dLbls>
            <c:delete val="1"/>
          </c:dLbls>
          <c:cat>
            <c:strRef>
              <c:f>[十四五隆回城镇发展指标.xls]Sheet2!$B$2:$G$2</c:f>
              <c:strCache>
                <c:ptCount val="6"/>
                <c:pt idx="0">
                  <c:v>2015年</c:v>
                </c:pt>
                <c:pt idx="1">
                  <c:v>2016年</c:v>
                </c:pt>
                <c:pt idx="2">
                  <c:v>2017年</c:v>
                </c:pt>
                <c:pt idx="3">
                  <c:v>2018年</c:v>
                </c:pt>
                <c:pt idx="4">
                  <c:v>2019年</c:v>
                </c:pt>
                <c:pt idx="5">
                  <c:v>2020年</c:v>
                </c:pt>
              </c:strCache>
            </c:strRef>
          </c:cat>
          <c:val>
            <c:numRef>
              <c:f>[十四五隆回城镇发展指标.xls]Sheet2!$B$5:$G$5</c:f>
              <c:numCache>
                <c:formatCode>General</c:formatCode>
                <c:ptCount val="6"/>
                <c:pt idx="0">
                  <c:v>12507</c:v>
                </c:pt>
                <c:pt idx="1">
                  <c:v>13297</c:v>
                </c:pt>
                <c:pt idx="2">
                  <c:v>14043</c:v>
                </c:pt>
                <c:pt idx="3">
                  <c:v>14842</c:v>
                </c:pt>
                <c:pt idx="4">
                  <c:v>15887</c:v>
                </c:pt>
                <c:pt idx="5">
                  <c:v>15860</c:v>
                </c:pt>
              </c:numCache>
            </c:numRef>
          </c:val>
          <c:smooth val="0"/>
        </c:ser>
        <c:dLbls>
          <c:showLegendKey val="0"/>
          <c:showVal val="0"/>
          <c:showCatName val="0"/>
          <c:showSerName val="0"/>
          <c:showPercent val="0"/>
          <c:showBubbleSize val="0"/>
        </c:dLbls>
        <c:marker val="0"/>
        <c:smooth val="0"/>
        <c:axId val="219940057"/>
        <c:axId val="321172039"/>
      </c:lineChart>
      <c:catAx>
        <c:axId val="219940057"/>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1172039"/>
        <c:crosses val="autoZero"/>
        <c:auto val="1"/>
        <c:lblAlgn val="ctr"/>
        <c:lblOffset val="100"/>
        <c:noMultiLvlLbl val="0"/>
      </c:catAx>
      <c:valAx>
        <c:axId val="321172039"/>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9940057"/>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047E7E-FB7B-4FC5-A5BC-34B97A56483E}">
  <ds:schemaRefs/>
</ds:datastoreItem>
</file>

<file path=docProps/app.xml><?xml version="1.0" encoding="utf-8"?>
<Properties xmlns="http://schemas.openxmlformats.org/officeDocument/2006/extended-properties" xmlns:vt="http://schemas.openxmlformats.org/officeDocument/2006/docPropsVTypes">
  <Template>Normal</Template>
  <Pages>81</Pages>
  <Words>44719</Words>
  <Characters>47445</Characters>
  <Lines>366</Lines>
  <Paragraphs>103</Paragraphs>
  <TotalTime>1</TotalTime>
  <ScaleCrop>false</ScaleCrop>
  <LinksUpToDate>false</LinksUpToDate>
  <CharactersWithSpaces>47963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2021-07-18T01:40:00Z</dcterms:created>
  <dc:creator>順風順水</dc:creator>
  <cp:lastModifiedBy>随风而起</cp:lastModifiedBy>
  <dcterms:modified xsi:type="dcterms:W3CDTF">2024-05-07T03:49:20Z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085A641ED2BB49A4BE1DC607AD628B59_13</vt:lpwstr>
  </property>
</Properties>
</file>